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8D7DF" w14:textId="77777777" w:rsidR="00C40B57" w:rsidRPr="00740741" w:rsidRDefault="00C716B9" w:rsidP="00C716B9">
      <w:pPr>
        <w:widowControl/>
        <w:spacing w:after="120" w:line="360" w:lineRule="auto"/>
        <w:jc w:val="both"/>
        <w:rPr>
          <w:rFonts w:ascii="Arial" w:eastAsia="Arial" w:hAnsi="Arial" w:cs="Arial"/>
          <w:b/>
          <w:sz w:val="20"/>
          <w:szCs w:val="20"/>
        </w:rPr>
      </w:pPr>
      <w:bookmarkStart w:id="0" w:name="_heading=h.1fob9te"/>
      <w:bookmarkEnd w:id="0"/>
      <w:r w:rsidRPr="00740741">
        <w:rPr>
          <w:rFonts w:ascii="Arial" w:hAnsi="Arial"/>
          <w:b/>
          <w:sz w:val="20"/>
          <w:szCs w:val="20"/>
        </w:rPr>
        <w:t>PTT: Annual General Mandate 2021</w:t>
      </w:r>
    </w:p>
    <w:p w14:paraId="03BE5BA9" w14:textId="77777777" w:rsidR="00C40B57" w:rsidRPr="00740741" w:rsidRDefault="00C716B9" w:rsidP="00C716B9">
      <w:pPr>
        <w:widowControl/>
        <w:spacing w:after="120" w:line="360" w:lineRule="auto"/>
        <w:jc w:val="both"/>
        <w:rPr>
          <w:rFonts w:ascii="Arial" w:eastAsia="Arial" w:hAnsi="Arial" w:cs="Arial"/>
          <w:sz w:val="20"/>
          <w:szCs w:val="20"/>
        </w:rPr>
      </w:pPr>
      <w:r w:rsidRPr="00740741">
        <w:rPr>
          <w:rFonts w:ascii="Arial" w:hAnsi="Arial"/>
          <w:sz w:val="20"/>
          <w:szCs w:val="20"/>
        </w:rPr>
        <w:t>On September 22, 2021, Indochina Petroleum Transportation Joint Stock Company announced</w:t>
      </w:r>
      <w:r w:rsidR="000E07C4" w:rsidRPr="00740741">
        <w:rPr>
          <w:rFonts w:ascii="Arial" w:hAnsi="Arial"/>
          <w:sz w:val="20"/>
          <w:szCs w:val="20"/>
        </w:rPr>
        <w:t xml:space="preserve"> Annual</w:t>
      </w:r>
      <w:r w:rsidRPr="00740741">
        <w:rPr>
          <w:rFonts w:ascii="Arial" w:hAnsi="Arial"/>
          <w:sz w:val="20"/>
          <w:szCs w:val="20"/>
        </w:rPr>
        <w:t xml:space="preserve"> General Mandate</w:t>
      </w:r>
      <w:r w:rsidR="001759D6" w:rsidRPr="00740741">
        <w:rPr>
          <w:rFonts w:ascii="Arial" w:hAnsi="Arial"/>
          <w:sz w:val="20"/>
          <w:szCs w:val="20"/>
        </w:rPr>
        <w:t xml:space="preserve"> 2021</w:t>
      </w:r>
      <w:r w:rsidRPr="00740741">
        <w:rPr>
          <w:rFonts w:ascii="Arial" w:hAnsi="Arial"/>
          <w:sz w:val="20"/>
          <w:szCs w:val="20"/>
        </w:rPr>
        <w:t xml:space="preserve"> No. 01/NQ-VTDKDD-DHDCD as follows:</w:t>
      </w:r>
    </w:p>
    <w:p w14:paraId="38CF071C" w14:textId="77777777" w:rsidR="00C40B57" w:rsidRPr="00740741" w:rsidRDefault="00C716B9" w:rsidP="00C716B9">
      <w:pPr>
        <w:widowControl/>
        <w:spacing w:after="120" w:line="360" w:lineRule="auto"/>
        <w:jc w:val="both"/>
        <w:rPr>
          <w:rFonts w:ascii="Arial" w:eastAsia="Arial" w:hAnsi="Arial" w:cs="Arial"/>
          <w:sz w:val="20"/>
          <w:szCs w:val="20"/>
        </w:rPr>
      </w:pPr>
      <w:r w:rsidRPr="00740741">
        <w:rPr>
          <w:rFonts w:ascii="Arial" w:hAnsi="Arial"/>
          <w:sz w:val="20"/>
          <w:szCs w:val="20"/>
        </w:rPr>
        <w:t>‎‎Article 1. Approve the following contents:</w:t>
      </w:r>
    </w:p>
    <w:p w14:paraId="79509728" w14:textId="687C887E"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The Report on activities in 2020 and operational plan </w:t>
      </w:r>
      <w:r w:rsidR="003B6A1D" w:rsidRPr="00740741">
        <w:rPr>
          <w:rFonts w:ascii="Arial" w:hAnsi="Arial"/>
          <w:sz w:val="20"/>
          <w:szCs w:val="20"/>
        </w:rPr>
        <w:t>in 2</w:t>
      </w:r>
      <w:bookmarkStart w:id="1" w:name="_GoBack"/>
      <w:bookmarkEnd w:id="1"/>
      <w:r w:rsidR="003B6A1D" w:rsidRPr="00740741">
        <w:rPr>
          <w:rFonts w:ascii="Arial" w:hAnsi="Arial"/>
          <w:sz w:val="20"/>
          <w:szCs w:val="20"/>
        </w:rPr>
        <w:t>021</w:t>
      </w:r>
      <w:r w:rsidRPr="00740741">
        <w:rPr>
          <w:rFonts w:ascii="Arial" w:hAnsi="Arial"/>
          <w:sz w:val="20"/>
          <w:szCs w:val="20"/>
        </w:rPr>
        <w:t xml:space="preserve"> of the Board of Directors.</w:t>
      </w:r>
    </w:p>
    <w:p w14:paraId="23C3DF81" w14:textId="7072A1EA"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The </w:t>
      </w:r>
      <w:r w:rsidR="00286FC9" w:rsidRPr="00740741">
        <w:rPr>
          <w:rFonts w:ascii="Arial" w:hAnsi="Arial"/>
          <w:sz w:val="20"/>
          <w:szCs w:val="20"/>
          <w:lang w:val="vi-VN"/>
        </w:rPr>
        <w:t xml:space="preserve">Income Statement </w:t>
      </w:r>
      <w:r w:rsidRPr="00740741">
        <w:rPr>
          <w:rFonts w:ascii="Arial" w:hAnsi="Arial"/>
          <w:sz w:val="20"/>
          <w:szCs w:val="20"/>
        </w:rPr>
        <w:t xml:space="preserve">2020 and </w:t>
      </w:r>
      <w:r w:rsidR="00D342C7" w:rsidRPr="00740741">
        <w:rPr>
          <w:rFonts w:ascii="Arial" w:hAnsi="Arial"/>
          <w:sz w:val="20"/>
          <w:szCs w:val="20"/>
        </w:rPr>
        <w:t>the Audited Financial Statement</w:t>
      </w:r>
      <w:r w:rsidRPr="00740741">
        <w:rPr>
          <w:rFonts w:ascii="Arial" w:hAnsi="Arial"/>
          <w:sz w:val="20"/>
          <w:szCs w:val="20"/>
        </w:rPr>
        <w:t xml:space="preserve"> 2020;</w:t>
      </w:r>
    </w:p>
    <w:p w14:paraId="2C622903" w14:textId="39522464" w:rsidR="00C40B57" w:rsidRPr="00740741" w:rsidRDefault="00C716B9" w:rsidP="00C716B9">
      <w:pPr>
        <w:widowControl/>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 xml:space="preserve">The </w:t>
      </w:r>
      <w:r w:rsidR="00286FC9" w:rsidRPr="00740741">
        <w:rPr>
          <w:rFonts w:ascii="Arial" w:hAnsi="Arial"/>
          <w:sz w:val="20"/>
          <w:szCs w:val="20"/>
          <w:lang w:val="vi-VN"/>
        </w:rPr>
        <w:t>Income Statement</w:t>
      </w:r>
      <w:r w:rsidRPr="00740741">
        <w:rPr>
          <w:rFonts w:ascii="Arial" w:hAnsi="Arial"/>
          <w:sz w:val="20"/>
          <w:szCs w:val="20"/>
        </w:rPr>
        <w:t xml:space="preserve"> 2020:</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3042"/>
        <w:gridCol w:w="1135"/>
        <w:gridCol w:w="1633"/>
        <w:gridCol w:w="1610"/>
        <w:gridCol w:w="1302"/>
      </w:tblGrid>
      <w:tr w:rsidR="00C40B57" w:rsidRPr="00740741" w14:paraId="763A7217" w14:textId="77777777">
        <w:trPr>
          <w:trHeight w:val="20"/>
          <w:jc w:val="center"/>
        </w:trPr>
        <w:tc>
          <w:tcPr>
            <w:tcW w:w="628" w:type="dxa"/>
            <w:shd w:val="clear" w:color="auto" w:fill="FFFFFF"/>
            <w:vAlign w:val="center"/>
          </w:tcPr>
          <w:p w14:paraId="4CCC2710"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 xml:space="preserve">No. </w:t>
            </w:r>
          </w:p>
        </w:tc>
        <w:tc>
          <w:tcPr>
            <w:tcW w:w="3042" w:type="dxa"/>
            <w:shd w:val="clear" w:color="auto" w:fill="FFFFFF"/>
            <w:vAlign w:val="center"/>
          </w:tcPr>
          <w:p w14:paraId="4F037BE2" w14:textId="77777777" w:rsidR="00C40B57" w:rsidRPr="00740741" w:rsidRDefault="006B0974"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 xml:space="preserve">Targets </w:t>
            </w:r>
          </w:p>
        </w:tc>
        <w:tc>
          <w:tcPr>
            <w:tcW w:w="1135" w:type="dxa"/>
            <w:shd w:val="clear" w:color="auto" w:fill="FFFFFF"/>
            <w:vAlign w:val="center"/>
          </w:tcPr>
          <w:p w14:paraId="53B47C98"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Unit</w:t>
            </w:r>
          </w:p>
        </w:tc>
        <w:tc>
          <w:tcPr>
            <w:tcW w:w="1633" w:type="dxa"/>
            <w:shd w:val="clear" w:color="auto" w:fill="FFFFFF"/>
            <w:vAlign w:val="center"/>
          </w:tcPr>
          <w:p w14:paraId="4E1CB7D9" w14:textId="77777777" w:rsidR="00C40B57" w:rsidRPr="00740741" w:rsidRDefault="00CA552B" w:rsidP="00CA552B">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 xml:space="preserve">Planned for 2020 </w:t>
            </w:r>
          </w:p>
        </w:tc>
        <w:tc>
          <w:tcPr>
            <w:tcW w:w="1610" w:type="dxa"/>
            <w:shd w:val="clear" w:color="auto" w:fill="FFFFFF"/>
            <w:vAlign w:val="center"/>
          </w:tcPr>
          <w:p w14:paraId="3EC5D780" w14:textId="77777777" w:rsidR="00C40B57" w:rsidRPr="00740741" w:rsidRDefault="00CA552B" w:rsidP="00CA552B">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eastAsia="Arial" w:hAnsi="Arial" w:cs="Arial"/>
                <w:sz w:val="20"/>
                <w:szCs w:val="20"/>
              </w:rPr>
              <w:t>Realized in 2020</w:t>
            </w:r>
          </w:p>
        </w:tc>
        <w:tc>
          <w:tcPr>
            <w:tcW w:w="1302" w:type="dxa"/>
            <w:shd w:val="clear" w:color="auto" w:fill="FFFFFF"/>
            <w:vAlign w:val="center"/>
          </w:tcPr>
          <w:p w14:paraId="46E910E8" w14:textId="77777777" w:rsidR="00C40B57" w:rsidRPr="00740741" w:rsidRDefault="00692926"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Realized r</w:t>
            </w:r>
            <w:r w:rsidR="00CA552B" w:rsidRPr="00740741">
              <w:rPr>
                <w:rFonts w:ascii="Arial" w:hAnsi="Arial"/>
                <w:sz w:val="20"/>
                <w:szCs w:val="20"/>
              </w:rPr>
              <w:t>ate</w:t>
            </w:r>
            <w:r w:rsidR="00C716B9" w:rsidRPr="00740741">
              <w:rPr>
                <w:rFonts w:ascii="Arial" w:hAnsi="Arial"/>
                <w:sz w:val="20"/>
                <w:szCs w:val="20"/>
              </w:rPr>
              <w:t xml:space="preserve"> (%)</w:t>
            </w:r>
          </w:p>
        </w:tc>
      </w:tr>
      <w:tr w:rsidR="00C40B57" w:rsidRPr="00740741" w14:paraId="6DDBD6DA" w14:textId="77777777">
        <w:trPr>
          <w:trHeight w:val="20"/>
          <w:jc w:val="center"/>
        </w:trPr>
        <w:tc>
          <w:tcPr>
            <w:tcW w:w="628" w:type="dxa"/>
            <w:shd w:val="clear" w:color="auto" w:fill="FFFFFF"/>
            <w:vAlign w:val="center"/>
          </w:tcPr>
          <w:p w14:paraId="3B37C614"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1</w:t>
            </w:r>
          </w:p>
        </w:tc>
        <w:tc>
          <w:tcPr>
            <w:tcW w:w="3042" w:type="dxa"/>
            <w:shd w:val="clear" w:color="auto" w:fill="FFFFFF"/>
            <w:vAlign w:val="center"/>
          </w:tcPr>
          <w:p w14:paraId="65B6D27E" w14:textId="77777777" w:rsidR="00C40B57" w:rsidRPr="00740741" w:rsidRDefault="00C716B9" w:rsidP="008A4A02">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Total revenue</w:t>
            </w:r>
          </w:p>
        </w:tc>
        <w:tc>
          <w:tcPr>
            <w:tcW w:w="1135" w:type="dxa"/>
            <w:shd w:val="clear" w:color="auto" w:fill="FFFFFF"/>
            <w:vAlign w:val="center"/>
          </w:tcPr>
          <w:p w14:paraId="31B614D3"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c>
          <w:tcPr>
            <w:tcW w:w="1633" w:type="dxa"/>
            <w:shd w:val="clear" w:color="auto" w:fill="FFFFFF"/>
            <w:vAlign w:val="center"/>
          </w:tcPr>
          <w:p w14:paraId="3149AF74" w14:textId="77777777" w:rsidR="00C40B57" w:rsidRPr="00740741" w:rsidRDefault="00C716B9" w:rsidP="00CA552B">
            <w:pPr>
              <w:pBdr>
                <w:top w:val="nil"/>
                <w:left w:val="nil"/>
                <w:bottom w:val="nil"/>
                <w:right w:val="nil"/>
                <w:between w:val="nil"/>
              </w:pBdr>
              <w:spacing w:after="120" w:line="360" w:lineRule="auto"/>
              <w:ind w:right="61"/>
              <w:jc w:val="right"/>
              <w:rPr>
                <w:rFonts w:ascii="Arial" w:eastAsia="Arial" w:hAnsi="Arial" w:cs="Arial"/>
                <w:sz w:val="20"/>
                <w:szCs w:val="20"/>
              </w:rPr>
            </w:pPr>
            <w:r w:rsidRPr="00740741">
              <w:rPr>
                <w:rFonts w:ascii="Arial" w:hAnsi="Arial"/>
                <w:sz w:val="20"/>
                <w:szCs w:val="20"/>
              </w:rPr>
              <w:t>350.000</w:t>
            </w:r>
          </w:p>
        </w:tc>
        <w:tc>
          <w:tcPr>
            <w:tcW w:w="1610" w:type="dxa"/>
            <w:shd w:val="clear" w:color="auto" w:fill="FFFFFF"/>
            <w:vAlign w:val="center"/>
          </w:tcPr>
          <w:p w14:paraId="72DCD5F2" w14:textId="77777777" w:rsidR="00C40B57" w:rsidRPr="00740741" w:rsidRDefault="00C716B9" w:rsidP="00CA552B">
            <w:pPr>
              <w:pBdr>
                <w:top w:val="nil"/>
                <w:left w:val="nil"/>
                <w:bottom w:val="nil"/>
                <w:right w:val="nil"/>
                <w:between w:val="nil"/>
              </w:pBdr>
              <w:spacing w:after="120" w:line="360" w:lineRule="auto"/>
              <w:ind w:right="101"/>
              <w:jc w:val="right"/>
              <w:rPr>
                <w:rFonts w:ascii="Arial" w:eastAsia="Arial" w:hAnsi="Arial" w:cs="Arial"/>
                <w:sz w:val="20"/>
                <w:szCs w:val="20"/>
              </w:rPr>
            </w:pPr>
            <w:r w:rsidRPr="00740741">
              <w:rPr>
                <w:rFonts w:ascii="Arial" w:hAnsi="Arial"/>
                <w:sz w:val="20"/>
                <w:szCs w:val="20"/>
              </w:rPr>
              <w:t>193.444</w:t>
            </w:r>
          </w:p>
        </w:tc>
        <w:tc>
          <w:tcPr>
            <w:tcW w:w="1302" w:type="dxa"/>
            <w:shd w:val="clear" w:color="auto" w:fill="FFFFFF"/>
            <w:vAlign w:val="center"/>
          </w:tcPr>
          <w:p w14:paraId="1D0898D5" w14:textId="77777777" w:rsidR="00C40B57" w:rsidRPr="00740741" w:rsidRDefault="00C716B9" w:rsidP="00CA552B">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55%</w:t>
            </w:r>
          </w:p>
        </w:tc>
      </w:tr>
      <w:tr w:rsidR="00C40B57" w:rsidRPr="00740741" w14:paraId="4C314854" w14:textId="77777777">
        <w:trPr>
          <w:trHeight w:val="20"/>
          <w:jc w:val="center"/>
        </w:trPr>
        <w:tc>
          <w:tcPr>
            <w:tcW w:w="628" w:type="dxa"/>
            <w:shd w:val="clear" w:color="auto" w:fill="FFFFFF"/>
            <w:vAlign w:val="center"/>
          </w:tcPr>
          <w:p w14:paraId="25CE613B"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2</w:t>
            </w:r>
          </w:p>
        </w:tc>
        <w:tc>
          <w:tcPr>
            <w:tcW w:w="3042" w:type="dxa"/>
            <w:shd w:val="clear" w:color="auto" w:fill="FFFFFF"/>
            <w:vAlign w:val="center"/>
          </w:tcPr>
          <w:p w14:paraId="7974EDF8" w14:textId="77777777" w:rsidR="00C40B57" w:rsidRPr="00740741" w:rsidRDefault="00C716B9" w:rsidP="008A4A02">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Profit before tax</w:t>
            </w:r>
          </w:p>
        </w:tc>
        <w:tc>
          <w:tcPr>
            <w:tcW w:w="1135" w:type="dxa"/>
            <w:shd w:val="clear" w:color="auto" w:fill="FFFFFF"/>
            <w:vAlign w:val="center"/>
          </w:tcPr>
          <w:p w14:paraId="15DA459F"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c>
          <w:tcPr>
            <w:tcW w:w="1633" w:type="dxa"/>
            <w:shd w:val="clear" w:color="auto" w:fill="FFFFFF"/>
            <w:vAlign w:val="center"/>
          </w:tcPr>
          <w:p w14:paraId="71ADA86B" w14:textId="77777777" w:rsidR="00C40B57" w:rsidRPr="00740741" w:rsidRDefault="00C716B9" w:rsidP="00CA552B">
            <w:pPr>
              <w:pBdr>
                <w:top w:val="nil"/>
                <w:left w:val="nil"/>
                <w:bottom w:val="nil"/>
                <w:right w:val="nil"/>
                <w:between w:val="nil"/>
              </w:pBdr>
              <w:spacing w:after="120" w:line="360" w:lineRule="auto"/>
              <w:ind w:right="61"/>
              <w:jc w:val="right"/>
              <w:rPr>
                <w:rFonts w:ascii="Arial" w:eastAsia="Arial" w:hAnsi="Arial" w:cs="Arial"/>
                <w:sz w:val="20"/>
                <w:szCs w:val="20"/>
              </w:rPr>
            </w:pPr>
            <w:r w:rsidRPr="00740741">
              <w:rPr>
                <w:rFonts w:ascii="Arial" w:hAnsi="Arial"/>
                <w:sz w:val="20"/>
                <w:szCs w:val="20"/>
              </w:rPr>
              <w:t>7.500</w:t>
            </w:r>
          </w:p>
        </w:tc>
        <w:tc>
          <w:tcPr>
            <w:tcW w:w="1610" w:type="dxa"/>
            <w:shd w:val="clear" w:color="auto" w:fill="FFFFFF"/>
            <w:vAlign w:val="center"/>
          </w:tcPr>
          <w:p w14:paraId="2E2311E6" w14:textId="77777777" w:rsidR="00C40B57" w:rsidRPr="00740741" w:rsidRDefault="00C716B9" w:rsidP="00CA552B">
            <w:pPr>
              <w:pBdr>
                <w:top w:val="nil"/>
                <w:left w:val="nil"/>
                <w:bottom w:val="nil"/>
                <w:right w:val="nil"/>
                <w:between w:val="nil"/>
              </w:pBdr>
              <w:spacing w:after="120" w:line="360" w:lineRule="auto"/>
              <w:ind w:right="101"/>
              <w:jc w:val="right"/>
              <w:rPr>
                <w:rFonts w:ascii="Arial" w:eastAsia="Arial" w:hAnsi="Arial" w:cs="Arial"/>
                <w:sz w:val="20"/>
                <w:szCs w:val="20"/>
              </w:rPr>
            </w:pPr>
            <w:r w:rsidRPr="00740741">
              <w:rPr>
                <w:rFonts w:ascii="Arial" w:hAnsi="Arial"/>
                <w:sz w:val="20"/>
                <w:szCs w:val="20"/>
              </w:rPr>
              <w:t>1.003</w:t>
            </w:r>
          </w:p>
        </w:tc>
        <w:tc>
          <w:tcPr>
            <w:tcW w:w="1302" w:type="dxa"/>
            <w:shd w:val="clear" w:color="auto" w:fill="FFFFFF"/>
            <w:vAlign w:val="center"/>
          </w:tcPr>
          <w:p w14:paraId="1272764E" w14:textId="77777777" w:rsidR="00C40B57" w:rsidRPr="00740741" w:rsidRDefault="00C716B9" w:rsidP="00CA552B">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13%</w:t>
            </w:r>
          </w:p>
        </w:tc>
      </w:tr>
      <w:tr w:rsidR="00C40B57" w:rsidRPr="00740741" w14:paraId="642A5B8F" w14:textId="77777777">
        <w:trPr>
          <w:trHeight w:val="20"/>
          <w:jc w:val="center"/>
        </w:trPr>
        <w:tc>
          <w:tcPr>
            <w:tcW w:w="628" w:type="dxa"/>
            <w:shd w:val="clear" w:color="auto" w:fill="FFFFFF"/>
            <w:vAlign w:val="center"/>
          </w:tcPr>
          <w:p w14:paraId="19B0AEFC"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3</w:t>
            </w:r>
          </w:p>
        </w:tc>
        <w:tc>
          <w:tcPr>
            <w:tcW w:w="3042" w:type="dxa"/>
            <w:shd w:val="clear" w:color="auto" w:fill="FFFFFF"/>
            <w:vAlign w:val="center"/>
          </w:tcPr>
          <w:p w14:paraId="2A35C5AD" w14:textId="77777777" w:rsidR="00C40B57" w:rsidRPr="00740741" w:rsidRDefault="00C716B9" w:rsidP="008A4A02">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Profit after tax</w:t>
            </w:r>
          </w:p>
        </w:tc>
        <w:tc>
          <w:tcPr>
            <w:tcW w:w="1135" w:type="dxa"/>
            <w:shd w:val="clear" w:color="auto" w:fill="FFFFFF"/>
            <w:vAlign w:val="center"/>
          </w:tcPr>
          <w:p w14:paraId="6BED464D"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c>
          <w:tcPr>
            <w:tcW w:w="1633" w:type="dxa"/>
            <w:shd w:val="clear" w:color="auto" w:fill="FFFFFF"/>
            <w:vAlign w:val="center"/>
          </w:tcPr>
          <w:p w14:paraId="08AEEA9E" w14:textId="77777777" w:rsidR="00C40B57" w:rsidRPr="00740741" w:rsidRDefault="00C716B9" w:rsidP="00CA552B">
            <w:pPr>
              <w:pBdr>
                <w:top w:val="nil"/>
                <w:left w:val="nil"/>
                <w:bottom w:val="nil"/>
                <w:right w:val="nil"/>
                <w:between w:val="nil"/>
              </w:pBdr>
              <w:spacing w:after="120" w:line="360" w:lineRule="auto"/>
              <w:ind w:right="61"/>
              <w:jc w:val="right"/>
              <w:rPr>
                <w:rFonts w:ascii="Arial" w:eastAsia="Arial" w:hAnsi="Arial" w:cs="Arial"/>
                <w:sz w:val="20"/>
                <w:szCs w:val="20"/>
              </w:rPr>
            </w:pPr>
            <w:r w:rsidRPr="00740741">
              <w:rPr>
                <w:rFonts w:ascii="Arial" w:hAnsi="Arial"/>
                <w:sz w:val="20"/>
                <w:szCs w:val="20"/>
              </w:rPr>
              <w:t>6.000</w:t>
            </w:r>
          </w:p>
        </w:tc>
        <w:tc>
          <w:tcPr>
            <w:tcW w:w="1610" w:type="dxa"/>
            <w:shd w:val="clear" w:color="auto" w:fill="FFFFFF"/>
            <w:vAlign w:val="center"/>
          </w:tcPr>
          <w:p w14:paraId="396B5F94" w14:textId="77777777" w:rsidR="00C40B57" w:rsidRPr="00740741" w:rsidRDefault="00C716B9" w:rsidP="00CA552B">
            <w:pPr>
              <w:pBdr>
                <w:top w:val="nil"/>
                <w:left w:val="nil"/>
                <w:bottom w:val="nil"/>
                <w:right w:val="nil"/>
                <w:between w:val="nil"/>
              </w:pBdr>
              <w:spacing w:after="120" w:line="360" w:lineRule="auto"/>
              <w:ind w:right="101"/>
              <w:jc w:val="right"/>
              <w:rPr>
                <w:rFonts w:ascii="Arial" w:eastAsia="Arial" w:hAnsi="Arial" w:cs="Arial"/>
                <w:sz w:val="20"/>
                <w:szCs w:val="20"/>
              </w:rPr>
            </w:pPr>
            <w:r w:rsidRPr="00740741">
              <w:rPr>
                <w:rFonts w:ascii="Arial" w:hAnsi="Arial"/>
                <w:sz w:val="20"/>
                <w:szCs w:val="20"/>
              </w:rPr>
              <w:t>0.839</w:t>
            </w:r>
          </w:p>
        </w:tc>
        <w:tc>
          <w:tcPr>
            <w:tcW w:w="1302" w:type="dxa"/>
            <w:shd w:val="clear" w:color="auto" w:fill="FFFFFF"/>
            <w:vAlign w:val="center"/>
          </w:tcPr>
          <w:p w14:paraId="673E82BC" w14:textId="77777777" w:rsidR="00C40B57" w:rsidRPr="00740741" w:rsidRDefault="00C716B9" w:rsidP="00CA552B">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13%</w:t>
            </w:r>
          </w:p>
        </w:tc>
      </w:tr>
      <w:tr w:rsidR="00C40B57" w:rsidRPr="00740741" w14:paraId="181B7723" w14:textId="77777777">
        <w:trPr>
          <w:trHeight w:val="20"/>
          <w:jc w:val="center"/>
        </w:trPr>
        <w:tc>
          <w:tcPr>
            <w:tcW w:w="628" w:type="dxa"/>
            <w:shd w:val="clear" w:color="auto" w:fill="FFFFFF"/>
            <w:vAlign w:val="center"/>
          </w:tcPr>
          <w:p w14:paraId="4807610E"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4</w:t>
            </w:r>
          </w:p>
        </w:tc>
        <w:tc>
          <w:tcPr>
            <w:tcW w:w="3042" w:type="dxa"/>
            <w:shd w:val="clear" w:color="auto" w:fill="FFFFFF"/>
            <w:vAlign w:val="center"/>
          </w:tcPr>
          <w:p w14:paraId="5E232356" w14:textId="77777777" w:rsidR="00C40B57" w:rsidRPr="00740741" w:rsidRDefault="00C716B9" w:rsidP="008A4A02">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Payables to the State budget</w:t>
            </w:r>
          </w:p>
        </w:tc>
        <w:tc>
          <w:tcPr>
            <w:tcW w:w="1135" w:type="dxa"/>
            <w:shd w:val="clear" w:color="auto" w:fill="FFFFFF"/>
            <w:vAlign w:val="center"/>
          </w:tcPr>
          <w:p w14:paraId="050F7E80"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c>
          <w:tcPr>
            <w:tcW w:w="1633" w:type="dxa"/>
            <w:shd w:val="clear" w:color="auto" w:fill="FFFFFF"/>
            <w:vAlign w:val="center"/>
          </w:tcPr>
          <w:p w14:paraId="3E74A953" w14:textId="77777777" w:rsidR="00C40B57" w:rsidRPr="00740741" w:rsidRDefault="00C716B9" w:rsidP="00CA552B">
            <w:pPr>
              <w:pBdr>
                <w:top w:val="nil"/>
                <w:left w:val="nil"/>
                <w:bottom w:val="nil"/>
                <w:right w:val="nil"/>
                <w:between w:val="nil"/>
              </w:pBdr>
              <w:spacing w:after="120" w:line="360" w:lineRule="auto"/>
              <w:ind w:right="61"/>
              <w:jc w:val="right"/>
              <w:rPr>
                <w:rFonts w:ascii="Arial" w:eastAsia="Arial" w:hAnsi="Arial" w:cs="Arial"/>
                <w:sz w:val="20"/>
                <w:szCs w:val="20"/>
              </w:rPr>
            </w:pPr>
            <w:r w:rsidRPr="00740741">
              <w:rPr>
                <w:rFonts w:ascii="Arial" w:hAnsi="Arial"/>
                <w:sz w:val="20"/>
                <w:szCs w:val="20"/>
              </w:rPr>
              <w:t>9.120</w:t>
            </w:r>
          </w:p>
        </w:tc>
        <w:tc>
          <w:tcPr>
            <w:tcW w:w="1610" w:type="dxa"/>
            <w:shd w:val="clear" w:color="auto" w:fill="FFFFFF"/>
            <w:vAlign w:val="center"/>
          </w:tcPr>
          <w:p w14:paraId="1C90B12B" w14:textId="77777777" w:rsidR="00C40B57" w:rsidRPr="00740741" w:rsidRDefault="00C716B9" w:rsidP="00CA552B">
            <w:pPr>
              <w:pBdr>
                <w:top w:val="nil"/>
                <w:left w:val="nil"/>
                <w:bottom w:val="nil"/>
                <w:right w:val="nil"/>
                <w:between w:val="nil"/>
              </w:pBdr>
              <w:spacing w:after="120" w:line="360" w:lineRule="auto"/>
              <w:ind w:right="101"/>
              <w:jc w:val="right"/>
              <w:rPr>
                <w:rFonts w:ascii="Arial" w:eastAsia="Arial" w:hAnsi="Arial" w:cs="Arial"/>
                <w:sz w:val="20"/>
                <w:szCs w:val="20"/>
              </w:rPr>
            </w:pPr>
            <w:r w:rsidRPr="00740741">
              <w:rPr>
                <w:rFonts w:ascii="Arial" w:hAnsi="Arial"/>
                <w:sz w:val="20"/>
                <w:szCs w:val="20"/>
              </w:rPr>
              <w:t>9.770</w:t>
            </w:r>
          </w:p>
        </w:tc>
        <w:tc>
          <w:tcPr>
            <w:tcW w:w="1302" w:type="dxa"/>
            <w:shd w:val="clear" w:color="auto" w:fill="FFFFFF"/>
            <w:vAlign w:val="center"/>
          </w:tcPr>
          <w:p w14:paraId="75E97431" w14:textId="77777777" w:rsidR="00C40B57" w:rsidRPr="00740741" w:rsidRDefault="00C716B9" w:rsidP="00CA552B">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107%</w:t>
            </w:r>
          </w:p>
        </w:tc>
      </w:tr>
      <w:tr w:rsidR="00C40B57" w:rsidRPr="00740741" w14:paraId="6D65EF88" w14:textId="77777777">
        <w:trPr>
          <w:trHeight w:val="20"/>
          <w:jc w:val="center"/>
        </w:trPr>
        <w:tc>
          <w:tcPr>
            <w:tcW w:w="628" w:type="dxa"/>
            <w:shd w:val="clear" w:color="auto" w:fill="FFFFFF"/>
            <w:vAlign w:val="center"/>
          </w:tcPr>
          <w:p w14:paraId="70B62C97"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5</w:t>
            </w:r>
          </w:p>
        </w:tc>
        <w:tc>
          <w:tcPr>
            <w:tcW w:w="3042" w:type="dxa"/>
            <w:shd w:val="clear" w:color="auto" w:fill="FFFFFF"/>
            <w:vAlign w:val="center"/>
          </w:tcPr>
          <w:p w14:paraId="17D98383" w14:textId="77777777" w:rsidR="00C40B57" w:rsidRPr="00740741" w:rsidRDefault="00C716B9" w:rsidP="00583AB7">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Plan</w:t>
            </w:r>
            <w:r w:rsidR="006B5387" w:rsidRPr="00740741">
              <w:rPr>
                <w:rFonts w:ascii="Arial" w:hAnsi="Arial"/>
                <w:sz w:val="20"/>
                <w:szCs w:val="20"/>
              </w:rPr>
              <w:t xml:space="preserve"> on</w:t>
            </w:r>
            <w:r w:rsidRPr="00740741">
              <w:rPr>
                <w:rFonts w:ascii="Arial" w:hAnsi="Arial"/>
                <w:sz w:val="20"/>
                <w:szCs w:val="20"/>
              </w:rPr>
              <w:t xml:space="preserve"> </w:t>
            </w:r>
            <w:r w:rsidR="00583AB7" w:rsidRPr="00740741">
              <w:rPr>
                <w:rFonts w:ascii="Arial" w:hAnsi="Arial"/>
                <w:sz w:val="20"/>
                <w:szCs w:val="20"/>
              </w:rPr>
              <w:t>basic</w:t>
            </w:r>
            <w:r w:rsidRPr="00740741">
              <w:rPr>
                <w:rFonts w:ascii="Arial" w:hAnsi="Arial"/>
                <w:sz w:val="20"/>
                <w:szCs w:val="20"/>
              </w:rPr>
              <w:t xml:space="preserve"> construction investment and equipment purchase</w:t>
            </w:r>
          </w:p>
        </w:tc>
        <w:tc>
          <w:tcPr>
            <w:tcW w:w="1135" w:type="dxa"/>
            <w:shd w:val="clear" w:color="auto" w:fill="FFFFFF"/>
            <w:vAlign w:val="center"/>
          </w:tcPr>
          <w:p w14:paraId="0E96E660"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c>
          <w:tcPr>
            <w:tcW w:w="1633" w:type="dxa"/>
            <w:shd w:val="clear" w:color="auto" w:fill="FFFFFF"/>
            <w:vAlign w:val="center"/>
          </w:tcPr>
          <w:p w14:paraId="4E10A3AD" w14:textId="77777777" w:rsidR="00C40B57" w:rsidRPr="00740741" w:rsidRDefault="00C716B9" w:rsidP="00CA552B">
            <w:pPr>
              <w:pBdr>
                <w:top w:val="nil"/>
                <w:left w:val="nil"/>
                <w:bottom w:val="nil"/>
                <w:right w:val="nil"/>
                <w:between w:val="nil"/>
              </w:pBdr>
              <w:spacing w:after="120" w:line="360" w:lineRule="auto"/>
              <w:ind w:right="61"/>
              <w:jc w:val="right"/>
              <w:rPr>
                <w:rFonts w:ascii="Arial" w:eastAsia="Arial" w:hAnsi="Arial" w:cs="Arial"/>
                <w:sz w:val="20"/>
                <w:szCs w:val="20"/>
              </w:rPr>
            </w:pPr>
            <w:r w:rsidRPr="00740741">
              <w:rPr>
                <w:rFonts w:ascii="Arial" w:hAnsi="Arial"/>
                <w:sz w:val="20"/>
                <w:szCs w:val="20"/>
              </w:rPr>
              <w:t>224.190</w:t>
            </w:r>
          </w:p>
        </w:tc>
        <w:tc>
          <w:tcPr>
            <w:tcW w:w="1610" w:type="dxa"/>
            <w:shd w:val="clear" w:color="auto" w:fill="FFFFFF"/>
            <w:vAlign w:val="center"/>
          </w:tcPr>
          <w:p w14:paraId="6F640387" w14:textId="77777777" w:rsidR="00C40B57" w:rsidRPr="00740741" w:rsidRDefault="00C716B9" w:rsidP="00CA552B">
            <w:pPr>
              <w:pBdr>
                <w:top w:val="nil"/>
                <w:left w:val="nil"/>
                <w:bottom w:val="nil"/>
                <w:right w:val="nil"/>
                <w:between w:val="nil"/>
              </w:pBdr>
              <w:spacing w:after="120" w:line="360" w:lineRule="auto"/>
              <w:ind w:right="101"/>
              <w:jc w:val="right"/>
              <w:rPr>
                <w:rFonts w:ascii="Arial" w:eastAsia="Arial" w:hAnsi="Arial" w:cs="Arial"/>
                <w:sz w:val="20"/>
                <w:szCs w:val="20"/>
              </w:rPr>
            </w:pPr>
            <w:r w:rsidRPr="00740741">
              <w:rPr>
                <w:rFonts w:ascii="Arial" w:hAnsi="Arial"/>
                <w:sz w:val="20"/>
                <w:szCs w:val="20"/>
              </w:rPr>
              <w:t>-</w:t>
            </w:r>
          </w:p>
        </w:tc>
        <w:tc>
          <w:tcPr>
            <w:tcW w:w="1302" w:type="dxa"/>
            <w:shd w:val="clear" w:color="auto" w:fill="FFFFFF"/>
            <w:vAlign w:val="center"/>
          </w:tcPr>
          <w:p w14:paraId="6AE85085" w14:textId="77777777" w:rsidR="00C40B57" w:rsidRPr="00740741" w:rsidRDefault="00C716B9" w:rsidP="00CA552B">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0%</w:t>
            </w:r>
          </w:p>
        </w:tc>
      </w:tr>
    </w:tbl>
    <w:p w14:paraId="7AA31FED" w14:textId="1FD2563B"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The Report on activities in 2020; the operating orientation</w:t>
      </w:r>
      <w:r w:rsidR="00BA73A0" w:rsidRPr="00740741">
        <w:rPr>
          <w:rFonts w:ascii="Arial" w:hAnsi="Arial"/>
          <w:sz w:val="20"/>
          <w:szCs w:val="20"/>
        </w:rPr>
        <w:t>s</w:t>
      </w:r>
      <w:r w:rsidRPr="00740741">
        <w:rPr>
          <w:rFonts w:ascii="Arial" w:hAnsi="Arial"/>
          <w:sz w:val="20"/>
          <w:szCs w:val="20"/>
        </w:rPr>
        <w:t xml:space="preserve"> and operational plan </w:t>
      </w:r>
      <w:r w:rsidR="003B6A1D" w:rsidRPr="00740741">
        <w:rPr>
          <w:rFonts w:ascii="Arial" w:hAnsi="Arial"/>
          <w:sz w:val="20"/>
          <w:szCs w:val="20"/>
        </w:rPr>
        <w:t>in 2021</w:t>
      </w:r>
      <w:r w:rsidRPr="00740741">
        <w:rPr>
          <w:rFonts w:ascii="Arial" w:hAnsi="Arial"/>
          <w:sz w:val="20"/>
          <w:szCs w:val="20"/>
        </w:rPr>
        <w:t xml:space="preserve"> of the Supervisory Board.</w:t>
      </w:r>
    </w:p>
    <w:p w14:paraId="5F0CBA1C" w14:textId="18E24D9D"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The production and business plan </w:t>
      </w:r>
      <w:r w:rsidR="003B6A1D" w:rsidRPr="00740741">
        <w:rPr>
          <w:rFonts w:ascii="Arial" w:hAnsi="Arial"/>
          <w:sz w:val="20"/>
          <w:szCs w:val="20"/>
        </w:rPr>
        <w:t>in 2021</w:t>
      </w:r>
      <w:r w:rsidRPr="00740741">
        <w:rPr>
          <w:rFonts w:ascii="Arial" w:hAnsi="Arial"/>
          <w:sz w:val="20"/>
          <w:szCs w:val="20"/>
        </w:rPr>
        <w:t xml:space="preserve"> and the authorizatio</w:t>
      </w:r>
      <w:r w:rsidR="00752879" w:rsidRPr="00740741">
        <w:rPr>
          <w:rFonts w:ascii="Arial" w:hAnsi="Arial"/>
          <w:sz w:val="20"/>
          <w:szCs w:val="20"/>
        </w:rPr>
        <w:t xml:space="preserve">n for the Board of Directors to </w:t>
      </w:r>
      <w:r w:rsidRPr="00740741">
        <w:rPr>
          <w:rFonts w:ascii="Arial" w:hAnsi="Arial"/>
          <w:sz w:val="20"/>
          <w:szCs w:val="20"/>
        </w:rPr>
        <w:t xml:space="preserve">approve the adjustment </w:t>
      </w:r>
      <w:r w:rsidR="00273D1E" w:rsidRPr="00740741">
        <w:rPr>
          <w:rFonts w:ascii="Arial" w:hAnsi="Arial"/>
          <w:sz w:val="20"/>
          <w:szCs w:val="20"/>
        </w:rPr>
        <w:t>to</w:t>
      </w:r>
      <w:r w:rsidRPr="00740741">
        <w:rPr>
          <w:rFonts w:ascii="Arial" w:hAnsi="Arial"/>
          <w:sz w:val="20"/>
          <w:szCs w:val="20"/>
        </w:rPr>
        <w:t xml:space="preserve"> the production and business plan, investment plan (if any) in accordance with the actual production and business </w:t>
      </w:r>
      <w:r w:rsidR="00856696" w:rsidRPr="00740741">
        <w:rPr>
          <w:rFonts w:ascii="Arial" w:hAnsi="Arial"/>
          <w:sz w:val="20"/>
          <w:szCs w:val="20"/>
        </w:rPr>
        <w:t>status</w:t>
      </w:r>
      <w:r w:rsidRPr="00740741">
        <w:rPr>
          <w:rFonts w:ascii="Arial" w:hAnsi="Arial"/>
          <w:sz w:val="20"/>
          <w:szCs w:val="20"/>
        </w:rPr>
        <w:t xml:space="preserve"> of the Compan</w:t>
      </w:r>
      <w:r w:rsidR="00A027C8" w:rsidRPr="00740741">
        <w:rPr>
          <w:rFonts w:ascii="Arial" w:hAnsi="Arial"/>
          <w:sz w:val="20"/>
          <w:szCs w:val="20"/>
        </w:rPr>
        <w:t>y</w:t>
      </w:r>
      <w:r w:rsidRPr="00740741">
        <w:rPr>
          <w:rFonts w:ascii="Arial" w:hAnsi="Arial"/>
          <w:sz w:val="20"/>
          <w:szCs w:val="20"/>
        </w:rPr>
        <w:t>.</w:t>
      </w:r>
    </w:p>
    <w:p w14:paraId="064CBD7C" w14:textId="6A94B5EB" w:rsidR="00C40B57" w:rsidRPr="00740741" w:rsidRDefault="00C716B9" w:rsidP="00C716B9">
      <w:pPr>
        <w:widowControl/>
        <w:tabs>
          <w:tab w:val="left" w:pos="567"/>
        </w:tabs>
        <w:spacing w:after="120" w:line="360" w:lineRule="auto"/>
        <w:jc w:val="both"/>
        <w:rPr>
          <w:rFonts w:ascii="Arial" w:eastAsia="Arial" w:hAnsi="Arial" w:cs="Arial"/>
          <w:sz w:val="20"/>
          <w:szCs w:val="20"/>
        </w:rPr>
      </w:pPr>
      <w:r w:rsidRPr="00740741">
        <w:rPr>
          <w:rFonts w:ascii="Arial" w:hAnsi="Arial"/>
          <w:sz w:val="20"/>
          <w:szCs w:val="20"/>
        </w:rPr>
        <w:t xml:space="preserve">The production and business plan </w:t>
      </w:r>
      <w:r w:rsidR="003B6A1D" w:rsidRPr="00740741">
        <w:rPr>
          <w:rFonts w:ascii="Arial" w:hAnsi="Arial"/>
          <w:sz w:val="20"/>
          <w:szCs w:val="20"/>
        </w:rPr>
        <w:t>in 2021</w:t>
      </w:r>
      <w:r w:rsidRPr="00740741">
        <w:rPr>
          <w:rFonts w:ascii="Arial" w:hAnsi="Arial"/>
          <w:sz w:val="20"/>
          <w:szCs w:val="20"/>
        </w:rPr>
        <w:t>.</w:t>
      </w:r>
    </w:p>
    <w:p w14:paraId="490DF472" w14:textId="26119E23" w:rsidR="00C40B57" w:rsidRPr="00740741" w:rsidRDefault="00C716B9" w:rsidP="00C716B9">
      <w:pPr>
        <w:widowControl/>
        <w:numPr>
          <w:ilvl w:val="0"/>
          <w:numId w:val="7"/>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Targets of the financial plan </w:t>
      </w:r>
      <w:r w:rsidR="003B6A1D" w:rsidRPr="00740741">
        <w:rPr>
          <w:rFonts w:ascii="Arial" w:hAnsi="Arial"/>
          <w:sz w:val="20"/>
          <w:szCs w:val="20"/>
        </w:rPr>
        <w:t>in 2021</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1"/>
        <w:gridCol w:w="4422"/>
        <w:gridCol w:w="1434"/>
        <w:gridCol w:w="2603"/>
      </w:tblGrid>
      <w:tr w:rsidR="00C40B57" w:rsidRPr="00740741" w14:paraId="2533DB5C" w14:textId="77777777">
        <w:trPr>
          <w:trHeight w:val="20"/>
        </w:trPr>
        <w:tc>
          <w:tcPr>
            <w:tcW w:w="891" w:type="dxa"/>
            <w:shd w:val="clear" w:color="auto" w:fill="FFFFFF"/>
            <w:vAlign w:val="center"/>
          </w:tcPr>
          <w:p w14:paraId="37678E4F"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 xml:space="preserve">No. </w:t>
            </w:r>
          </w:p>
        </w:tc>
        <w:tc>
          <w:tcPr>
            <w:tcW w:w="4422" w:type="dxa"/>
            <w:shd w:val="clear" w:color="auto" w:fill="FFFFFF"/>
            <w:vAlign w:val="center"/>
          </w:tcPr>
          <w:p w14:paraId="1ACB3ED3"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Target</w:t>
            </w:r>
            <w:r w:rsidR="006362B2" w:rsidRPr="00740741">
              <w:rPr>
                <w:rFonts w:ascii="Arial" w:hAnsi="Arial"/>
                <w:sz w:val="20"/>
                <w:szCs w:val="20"/>
              </w:rPr>
              <w:t>s</w:t>
            </w:r>
          </w:p>
        </w:tc>
        <w:tc>
          <w:tcPr>
            <w:tcW w:w="1434" w:type="dxa"/>
            <w:shd w:val="clear" w:color="auto" w:fill="FFFFFF"/>
            <w:vAlign w:val="center"/>
          </w:tcPr>
          <w:p w14:paraId="0235DB21"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Unit</w:t>
            </w:r>
          </w:p>
        </w:tc>
        <w:tc>
          <w:tcPr>
            <w:tcW w:w="2603" w:type="dxa"/>
            <w:shd w:val="clear" w:color="auto" w:fill="FFFFFF"/>
            <w:vAlign w:val="center"/>
          </w:tcPr>
          <w:p w14:paraId="6724367C" w14:textId="66D149FD" w:rsidR="00C40B57" w:rsidRPr="00740741" w:rsidRDefault="00C44E8D"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 xml:space="preserve">Planned </w:t>
            </w:r>
            <w:r w:rsidR="003B6A1D" w:rsidRPr="00740741">
              <w:rPr>
                <w:rFonts w:ascii="Arial" w:hAnsi="Arial"/>
                <w:sz w:val="20"/>
                <w:szCs w:val="20"/>
              </w:rPr>
              <w:t>in 2021</w:t>
            </w:r>
          </w:p>
          <w:p w14:paraId="734B2769"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r>
      <w:tr w:rsidR="00C40B57" w:rsidRPr="00740741" w14:paraId="0A8384BE" w14:textId="77777777">
        <w:trPr>
          <w:trHeight w:val="20"/>
        </w:trPr>
        <w:tc>
          <w:tcPr>
            <w:tcW w:w="891" w:type="dxa"/>
            <w:shd w:val="clear" w:color="auto" w:fill="FFFFFF"/>
            <w:vAlign w:val="center"/>
          </w:tcPr>
          <w:p w14:paraId="517327C5"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1</w:t>
            </w:r>
          </w:p>
        </w:tc>
        <w:tc>
          <w:tcPr>
            <w:tcW w:w="4422" w:type="dxa"/>
            <w:shd w:val="clear" w:color="auto" w:fill="FFFFFF"/>
            <w:vAlign w:val="center"/>
          </w:tcPr>
          <w:p w14:paraId="49C9981E" w14:textId="77777777" w:rsidR="00C40B57" w:rsidRPr="00740741" w:rsidRDefault="00C716B9" w:rsidP="006362B2">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Total revenue</w:t>
            </w:r>
          </w:p>
        </w:tc>
        <w:tc>
          <w:tcPr>
            <w:tcW w:w="1434" w:type="dxa"/>
            <w:shd w:val="clear" w:color="auto" w:fill="FFFFFF"/>
            <w:vAlign w:val="center"/>
          </w:tcPr>
          <w:p w14:paraId="55DD91C9"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c>
          <w:tcPr>
            <w:tcW w:w="2603" w:type="dxa"/>
            <w:shd w:val="clear" w:color="auto" w:fill="FFFFFF"/>
            <w:vAlign w:val="center"/>
          </w:tcPr>
          <w:p w14:paraId="302EB286" w14:textId="77777777" w:rsidR="00C40B57" w:rsidRPr="00740741" w:rsidRDefault="00C716B9" w:rsidP="00BC7674">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175.000</w:t>
            </w:r>
          </w:p>
        </w:tc>
      </w:tr>
      <w:tr w:rsidR="00C40B57" w:rsidRPr="00740741" w14:paraId="71693EB9" w14:textId="77777777">
        <w:trPr>
          <w:trHeight w:val="20"/>
        </w:trPr>
        <w:tc>
          <w:tcPr>
            <w:tcW w:w="891" w:type="dxa"/>
            <w:shd w:val="clear" w:color="auto" w:fill="FFFFFF"/>
            <w:vAlign w:val="center"/>
          </w:tcPr>
          <w:p w14:paraId="72881A21"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2</w:t>
            </w:r>
          </w:p>
        </w:tc>
        <w:tc>
          <w:tcPr>
            <w:tcW w:w="4422" w:type="dxa"/>
            <w:shd w:val="clear" w:color="auto" w:fill="FFFFFF"/>
            <w:vAlign w:val="center"/>
          </w:tcPr>
          <w:p w14:paraId="6A5F4B2A" w14:textId="77777777" w:rsidR="00C40B57" w:rsidRPr="00740741" w:rsidRDefault="00C716B9" w:rsidP="006362B2">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Total expenses</w:t>
            </w:r>
          </w:p>
        </w:tc>
        <w:tc>
          <w:tcPr>
            <w:tcW w:w="1434" w:type="dxa"/>
            <w:shd w:val="clear" w:color="auto" w:fill="FFFFFF"/>
            <w:vAlign w:val="center"/>
          </w:tcPr>
          <w:p w14:paraId="64D368BE"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c>
          <w:tcPr>
            <w:tcW w:w="2603" w:type="dxa"/>
            <w:shd w:val="clear" w:color="auto" w:fill="FFFFFF"/>
            <w:vAlign w:val="center"/>
          </w:tcPr>
          <w:p w14:paraId="1D661CBD" w14:textId="77777777" w:rsidR="00C40B57" w:rsidRPr="00740741" w:rsidRDefault="00C716B9" w:rsidP="00BC7674">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165.000</w:t>
            </w:r>
          </w:p>
        </w:tc>
      </w:tr>
      <w:tr w:rsidR="00C40B57" w:rsidRPr="00740741" w14:paraId="0B561174" w14:textId="77777777">
        <w:trPr>
          <w:trHeight w:val="20"/>
        </w:trPr>
        <w:tc>
          <w:tcPr>
            <w:tcW w:w="891" w:type="dxa"/>
            <w:shd w:val="clear" w:color="auto" w:fill="FFFFFF"/>
            <w:vAlign w:val="center"/>
          </w:tcPr>
          <w:p w14:paraId="6D9824A8"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3</w:t>
            </w:r>
          </w:p>
        </w:tc>
        <w:tc>
          <w:tcPr>
            <w:tcW w:w="4422" w:type="dxa"/>
            <w:shd w:val="clear" w:color="auto" w:fill="FFFFFF"/>
            <w:vAlign w:val="center"/>
          </w:tcPr>
          <w:p w14:paraId="00C33F24" w14:textId="77777777" w:rsidR="00C40B57" w:rsidRPr="00740741" w:rsidRDefault="00C716B9" w:rsidP="006362B2">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Profit before tax</w:t>
            </w:r>
          </w:p>
        </w:tc>
        <w:tc>
          <w:tcPr>
            <w:tcW w:w="1434" w:type="dxa"/>
            <w:shd w:val="clear" w:color="auto" w:fill="FFFFFF"/>
            <w:vAlign w:val="center"/>
          </w:tcPr>
          <w:p w14:paraId="5D59F02A"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c>
          <w:tcPr>
            <w:tcW w:w="2603" w:type="dxa"/>
            <w:shd w:val="clear" w:color="auto" w:fill="FFFFFF"/>
            <w:vAlign w:val="center"/>
          </w:tcPr>
          <w:p w14:paraId="5E5F5BEA" w14:textId="77777777" w:rsidR="00C40B57" w:rsidRPr="00740741" w:rsidRDefault="00C716B9" w:rsidP="00BC7674">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10.000</w:t>
            </w:r>
          </w:p>
        </w:tc>
      </w:tr>
      <w:tr w:rsidR="00C40B57" w:rsidRPr="00740741" w14:paraId="7FC1F26D" w14:textId="77777777">
        <w:trPr>
          <w:trHeight w:val="20"/>
        </w:trPr>
        <w:tc>
          <w:tcPr>
            <w:tcW w:w="891" w:type="dxa"/>
            <w:shd w:val="clear" w:color="auto" w:fill="FFFFFF"/>
            <w:vAlign w:val="center"/>
          </w:tcPr>
          <w:p w14:paraId="7FE842C3"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4</w:t>
            </w:r>
          </w:p>
        </w:tc>
        <w:tc>
          <w:tcPr>
            <w:tcW w:w="4422" w:type="dxa"/>
            <w:shd w:val="clear" w:color="auto" w:fill="FFFFFF"/>
            <w:vAlign w:val="center"/>
          </w:tcPr>
          <w:p w14:paraId="0C5638D1" w14:textId="77777777" w:rsidR="00C40B57" w:rsidRPr="00740741" w:rsidRDefault="00C716B9" w:rsidP="006362B2">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Profit after tax</w:t>
            </w:r>
          </w:p>
        </w:tc>
        <w:tc>
          <w:tcPr>
            <w:tcW w:w="1434" w:type="dxa"/>
            <w:shd w:val="clear" w:color="auto" w:fill="FFFFFF"/>
            <w:vAlign w:val="center"/>
          </w:tcPr>
          <w:p w14:paraId="62CE54B5"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c>
          <w:tcPr>
            <w:tcW w:w="2603" w:type="dxa"/>
            <w:shd w:val="clear" w:color="auto" w:fill="FFFFFF"/>
            <w:vAlign w:val="center"/>
          </w:tcPr>
          <w:p w14:paraId="20949918" w14:textId="77777777" w:rsidR="00C40B57" w:rsidRPr="00740741" w:rsidRDefault="00C716B9" w:rsidP="00BC7674">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8.000</w:t>
            </w:r>
          </w:p>
        </w:tc>
      </w:tr>
      <w:tr w:rsidR="00C40B57" w:rsidRPr="00740741" w14:paraId="531644C6" w14:textId="77777777">
        <w:trPr>
          <w:trHeight w:val="20"/>
        </w:trPr>
        <w:tc>
          <w:tcPr>
            <w:tcW w:w="891" w:type="dxa"/>
            <w:shd w:val="clear" w:color="auto" w:fill="FFFFFF"/>
            <w:vAlign w:val="center"/>
          </w:tcPr>
          <w:p w14:paraId="4E7E2F17"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lastRenderedPageBreak/>
              <w:t>5</w:t>
            </w:r>
          </w:p>
        </w:tc>
        <w:tc>
          <w:tcPr>
            <w:tcW w:w="4422" w:type="dxa"/>
            <w:shd w:val="clear" w:color="auto" w:fill="FFFFFF"/>
            <w:vAlign w:val="center"/>
          </w:tcPr>
          <w:p w14:paraId="59E169FC"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Payables to State Budget</w:t>
            </w:r>
          </w:p>
        </w:tc>
        <w:tc>
          <w:tcPr>
            <w:tcW w:w="1434" w:type="dxa"/>
            <w:shd w:val="clear" w:color="auto" w:fill="FFFFFF"/>
            <w:vAlign w:val="center"/>
          </w:tcPr>
          <w:p w14:paraId="37ABC037"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c>
          <w:tcPr>
            <w:tcW w:w="2603" w:type="dxa"/>
            <w:shd w:val="clear" w:color="auto" w:fill="FFFFFF"/>
            <w:vAlign w:val="center"/>
          </w:tcPr>
          <w:p w14:paraId="52F9C563" w14:textId="77777777" w:rsidR="00C40B57" w:rsidRPr="00740741" w:rsidRDefault="00C716B9" w:rsidP="00BC7674">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5.535</w:t>
            </w:r>
          </w:p>
        </w:tc>
      </w:tr>
    </w:tbl>
    <w:p w14:paraId="185949A8" w14:textId="77777777" w:rsidR="00C40B57" w:rsidRPr="00740741" w:rsidRDefault="00C716B9" w:rsidP="00C716B9">
      <w:pPr>
        <w:widowControl/>
        <w:numPr>
          <w:ilvl w:val="0"/>
          <w:numId w:val="7"/>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Targets of the investment plan:</w:t>
      </w:r>
    </w:p>
    <w:tbl>
      <w:tblPr>
        <w:tblStyle w:val="a1"/>
        <w:tblW w:w="9350" w:type="dxa"/>
        <w:tblLayout w:type="fixed"/>
        <w:tblLook w:val="0000" w:firstRow="0" w:lastRow="0" w:firstColumn="0" w:lastColumn="0" w:noHBand="0" w:noVBand="0"/>
      </w:tblPr>
      <w:tblGrid>
        <w:gridCol w:w="890"/>
        <w:gridCol w:w="4421"/>
        <w:gridCol w:w="1945"/>
        <w:gridCol w:w="2094"/>
      </w:tblGrid>
      <w:tr w:rsidR="00C40B57" w:rsidRPr="00740741" w14:paraId="7A96A901" w14:textId="77777777">
        <w:trPr>
          <w:trHeight w:val="20"/>
        </w:trPr>
        <w:tc>
          <w:tcPr>
            <w:tcW w:w="890" w:type="dxa"/>
            <w:tcBorders>
              <w:top w:val="single" w:sz="4" w:space="0" w:color="000000"/>
              <w:left w:val="single" w:sz="4" w:space="0" w:color="000000"/>
            </w:tcBorders>
            <w:shd w:val="clear" w:color="auto" w:fill="FFFFFF"/>
            <w:vAlign w:val="center"/>
          </w:tcPr>
          <w:p w14:paraId="346B70D2"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 xml:space="preserve">No. </w:t>
            </w:r>
          </w:p>
        </w:tc>
        <w:tc>
          <w:tcPr>
            <w:tcW w:w="4421" w:type="dxa"/>
            <w:tcBorders>
              <w:top w:val="single" w:sz="4" w:space="0" w:color="000000"/>
              <w:left w:val="single" w:sz="4" w:space="0" w:color="000000"/>
            </w:tcBorders>
            <w:shd w:val="clear" w:color="auto" w:fill="FFFFFF"/>
            <w:vAlign w:val="center"/>
          </w:tcPr>
          <w:p w14:paraId="18D40A5F"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Content</w:t>
            </w:r>
            <w:r w:rsidR="00B57E5F" w:rsidRPr="00740741">
              <w:rPr>
                <w:rFonts w:ascii="Arial" w:hAnsi="Arial"/>
                <w:sz w:val="20"/>
                <w:szCs w:val="20"/>
              </w:rPr>
              <w:t>s</w:t>
            </w:r>
          </w:p>
        </w:tc>
        <w:tc>
          <w:tcPr>
            <w:tcW w:w="1945" w:type="dxa"/>
            <w:tcBorders>
              <w:top w:val="single" w:sz="4" w:space="0" w:color="000000"/>
              <w:left w:val="single" w:sz="4" w:space="0" w:color="000000"/>
            </w:tcBorders>
            <w:shd w:val="clear" w:color="auto" w:fill="FFFFFF"/>
            <w:vAlign w:val="center"/>
          </w:tcPr>
          <w:p w14:paraId="199EAF70"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 xml:space="preserve"> Investment Value</w:t>
            </w:r>
          </w:p>
          <w:p w14:paraId="77BD15C1"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(Million USD)</w:t>
            </w:r>
          </w:p>
        </w:tc>
        <w:tc>
          <w:tcPr>
            <w:tcW w:w="2094" w:type="dxa"/>
            <w:tcBorders>
              <w:top w:val="single" w:sz="4" w:space="0" w:color="000000"/>
              <w:left w:val="single" w:sz="4" w:space="0" w:color="000000"/>
              <w:right w:val="single" w:sz="4" w:space="0" w:color="000000"/>
            </w:tcBorders>
            <w:shd w:val="clear" w:color="auto" w:fill="FFFFFF"/>
            <w:vAlign w:val="center"/>
          </w:tcPr>
          <w:p w14:paraId="2BF8848D"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Investment value</w:t>
            </w:r>
          </w:p>
          <w:p w14:paraId="7801DD60"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(Billion VND)</w:t>
            </w:r>
          </w:p>
        </w:tc>
      </w:tr>
      <w:tr w:rsidR="00C40B57" w:rsidRPr="00740741" w14:paraId="04B7E762" w14:textId="77777777">
        <w:trPr>
          <w:trHeight w:val="20"/>
        </w:trPr>
        <w:tc>
          <w:tcPr>
            <w:tcW w:w="890" w:type="dxa"/>
            <w:tcBorders>
              <w:top w:val="single" w:sz="4" w:space="0" w:color="000000"/>
              <w:left w:val="single" w:sz="4" w:space="0" w:color="000000"/>
            </w:tcBorders>
            <w:shd w:val="clear" w:color="auto" w:fill="FFFFFF"/>
            <w:vAlign w:val="center"/>
          </w:tcPr>
          <w:p w14:paraId="00DE7265" w14:textId="164019BB" w:rsidR="00C40B57" w:rsidRPr="00740741" w:rsidRDefault="00286FC9" w:rsidP="00C716B9">
            <w:pPr>
              <w:pBdr>
                <w:top w:val="nil"/>
                <w:left w:val="nil"/>
                <w:bottom w:val="nil"/>
                <w:right w:val="nil"/>
                <w:between w:val="nil"/>
              </w:pBdr>
              <w:spacing w:after="120" w:line="360" w:lineRule="auto"/>
              <w:jc w:val="center"/>
              <w:rPr>
                <w:rFonts w:ascii="Arial" w:eastAsia="Arial" w:hAnsi="Arial" w:cs="Arial"/>
                <w:sz w:val="20"/>
                <w:szCs w:val="20"/>
                <w:lang w:val="vi-VN"/>
              </w:rPr>
            </w:pPr>
            <w:r w:rsidRPr="00740741">
              <w:rPr>
                <w:rFonts w:ascii="Arial" w:hAnsi="Arial"/>
                <w:sz w:val="20"/>
                <w:szCs w:val="20"/>
                <w:lang w:val="vi-VN"/>
              </w:rPr>
              <w:t>I</w:t>
            </w:r>
          </w:p>
        </w:tc>
        <w:tc>
          <w:tcPr>
            <w:tcW w:w="4421" w:type="dxa"/>
            <w:tcBorders>
              <w:top w:val="single" w:sz="4" w:space="0" w:color="000000"/>
              <w:left w:val="single" w:sz="4" w:space="0" w:color="000000"/>
            </w:tcBorders>
            <w:shd w:val="clear" w:color="auto" w:fill="FFFFFF"/>
            <w:vAlign w:val="center"/>
          </w:tcPr>
          <w:p w14:paraId="70D736E0" w14:textId="77777777" w:rsidR="00C40B57" w:rsidRPr="00740741" w:rsidRDefault="00C716B9" w:rsidP="009E6CE8">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 xml:space="preserve"> Investment in fixed assets</w:t>
            </w:r>
          </w:p>
        </w:tc>
        <w:tc>
          <w:tcPr>
            <w:tcW w:w="1945" w:type="dxa"/>
            <w:tcBorders>
              <w:top w:val="single" w:sz="4" w:space="0" w:color="000000"/>
              <w:left w:val="single" w:sz="4" w:space="0" w:color="000000"/>
            </w:tcBorders>
            <w:shd w:val="clear" w:color="auto" w:fill="FFFFFF"/>
            <w:vAlign w:val="center"/>
          </w:tcPr>
          <w:p w14:paraId="0B611356" w14:textId="77777777" w:rsidR="00C40B57" w:rsidRPr="00740741" w:rsidRDefault="00C40B57" w:rsidP="00C716B9">
            <w:pPr>
              <w:spacing w:after="120" w:line="360" w:lineRule="auto"/>
              <w:jc w:val="center"/>
              <w:rPr>
                <w:rFonts w:ascii="Arial" w:eastAsia="Arial" w:hAnsi="Arial" w:cs="Arial"/>
                <w:sz w:val="20"/>
                <w:szCs w:val="20"/>
              </w:rPr>
            </w:pPr>
          </w:p>
        </w:tc>
        <w:tc>
          <w:tcPr>
            <w:tcW w:w="2094" w:type="dxa"/>
            <w:tcBorders>
              <w:top w:val="single" w:sz="4" w:space="0" w:color="000000"/>
              <w:left w:val="single" w:sz="4" w:space="0" w:color="000000"/>
              <w:right w:val="single" w:sz="4" w:space="0" w:color="000000"/>
            </w:tcBorders>
            <w:shd w:val="clear" w:color="auto" w:fill="FFFFFF"/>
            <w:vAlign w:val="center"/>
          </w:tcPr>
          <w:p w14:paraId="262F6EBC" w14:textId="77777777" w:rsidR="00C40B57" w:rsidRPr="00740741" w:rsidRDefault="00C40B57" w:rsidP="00C716B9">
            <w:pPr>
              <w:spacing w:after="120" w:line="360" w:lineRule="auto"/>
              <w:jc w:val="center"/>
              <w:rPr>
                <w:rFonts w:ascii="Arial" w:eastAsia="Arial" w:hAnsi="Arial" w:cs="Arial"/>
                <w:sz w:val="20"/>
                <w:szCs w:val="20"/>
              </w:rPr>
            </w:pPr>
          </w:p>
        </w:tc>
      </w:tr>
      <w:tr w:rsidR="00C40B57" w:rsidRPr="00740741" w14:paraId="44FDB053" w14:textId="77777777">
        <w:trPr>
          <w:trHeight w:val="20"/>
        </w:trPr>
        <w:tc>
          <w:tcPr>
            <w:tcW w:w="890" w:type="dxa"/>
            <w:tcBorders>
              <w:top w:val="single" w:sz="4" w:space="0" w:color="000000"/>
              <w:left w:val="single" w:sz="4" w:space="0" w:color="000000"/>
            </w:tcBorders>
            <w:shd w:val="clear" w:color="auto" w:fill="FFFFFF"/>
            <w:vAlign w:val="center"/>
          </w:tcPr>
          <w:p w14:paraId="1E346036"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1</w:t>
            </w:r>
          </w:p>
        </w:tc>
        <w:tc>
          <w:tcPr>
            <w:tcW w:w="4421" w:type="dxa"/>
            <w:tcBorders>
              <w:top w:val="single" w:sz="4" w:space="0" w:color="000000"/>
              <w:left w:val="single" w:sz="4" w:space="0" w:color="000000"/>
            </w:tcBorders>
            <w:shd w:val="clear" w:color="auto" w:fill="FFFFFF"/>
            <w:vAlign w:val="center"/>
          </w:tcPr>
          <w:p w14:paraId="5A5BC7A4" w14:textId="77777777" w:rsidR="00C40B57" w:rsidRPr="00740741" w:rsidRDefault="00C716B9" w:rsidP="009E6CE8">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Invest in 01 oil / chemical tanker with a tonnage of about 13,000 DWT.</w:t>
            </w:r>
          </w:p>
        </w:tc>
        <w:tc>
          <w:tcPr>
            <w:tcW w:w="1945" w:type="dxa"/>
            <w:tcBorders>
              <w:top w:val="single" w:sz="4" w:space="0" w:color="000000"/>
              <w:left w:val="single" w:sz="4" w:space="0" w:color="000000"/>
            </w:tcBorders>
            <w:shd w:val="clear" w:color="auto" w:fill="FFFFFF"/>
            <w:vAlign w:val="center"/>
          </w:tcPr>
          <w:p w14:paraId="0E06B81F" w14:textId="77777777" w:rsidR="00C40B57" w:rsidRPr="00740741" w:rsidRDefault="00C716B9" w:rsidP="003B337B">
            <w:pPr>
              <w:pBdr>
                <w:top w:val="nil"/>
                <w:left w:val="nil"/>
                <w:bottom w:val="nil"/>
                <w:right w:val="nil"/>
                <w:between w:val="nil"/>
              </w:pBdr>
              <w:spacing w:after="120" w:line="360" w:lineRule="auto"/>
              <w:ind w:right="159"/>
              <w:jc w:val="right"/>
              <w:rPr>
                <w:rFonts w:ascii="Arial" w:eastAsia="Arial" w:hAnsi="Arial" w:cs="Arial"/>
                <w:sz w:val="20"/>
                <w:szCs w:val="20"/>
              </w:rPr>
            </w:pPr>
            <w:r w:rsidRPr="00740741">
              <w:rPr>
                <w:rFonts w:ascii="Arial" w:hAnsi="Arial"/>
                <w:sz w:val="20"/>
                <w:szCs w:val="20"/>
              </w:rPr>
              <w:t>7.088</w:t>
            </w:r>
          </w:p>
        </w:tc>
        <w:tc>
          <w:tcPr>
            <w:tcW w:w="2094" w:type="dxa"/>
            <w:tcBorders>
              <w:top w:val="single" w:sz="4" w:space="0" w:color="000000"/>
              <w:left w:val="single" w:sz="4" w:space="0" w:color="000000"/>
              <w:right w:val="single" w:sz="4" w:space="0" w:color="000000"/>
            </w:tcBorders>
            <w:shd w:val="clear" w:color="auto" w:fill="FFFFFF"/>
            <w:vAlign w:val="center"/>
          </w:tcPr>
          <w:p w14:paraId="32D23310" w14:textId="77777777" w:rsidR="00C40B57" w:rsidRPr="00740741" w:rsidRDefault="00C716B9" w:rsidP="003B337B">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166.575</w:t>
            </w:r>
          </w:p>
        </w:tc>
      </w:tr>
      <w:tr w:rsidR="00C40B57" w:rsidRPr="00740741" w14:paraId="3FAD5F3C" w14:textId="77777777">
        <w:trPr>
          <w:trHeight w:val="20"/>
        </w:trPr>
        <w:tc>
          <w:tcPr>
            <w:tcW w:w="890" w:type="dxa"/>
            <w:tcBorders>
              <w:top w:val="single" w:sz="4" w:space="0" w:color="000000"/>
              <w:left w:val="single" w:sz="4" w:space="0" w:color="000000"/>
            </w:tcBorders>
            <w:shd w:val="clear" w:color="auto" w:fill="FFFFFF"/>
            <w:vAlign w:val="center"/>
          </w:tcPr>
          <w:p w14:paraId="53622CE1" w14:textId="1C4FDC81"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lang w:val="vi-VN"/>
              </w:rPr>
            </w:pPr>
            <w:r w:rsidRPr="00740741">
              <w:rPr>
                <w:rFonts w:ascii="Arial" w:hAnsi="Arial"/>
                <w:sz w:val="20"/>
                <w:szCs w:val="20"/>
              </w:rPr>
              <w:t>II</w:t>
            </w:r>
          </w:p>
        </w:tc>
        <w:tc>
          <w:tcPr>
            <w:tcW w:w="4421" w:type="dxa"/>
            <w:tcBorders>
              <w:top w:val="single" w:sz="4" w:space="0" w:color="000000"/>
              <w:left w:val="single" w:sz="4" w:space="0" w:color="000000"/>
            </w:tcBorders>
            <w:shd w:val="clear" w:color="auto" w:fill="FFFFFF"/>
            <w:vAlign w:val="center"/>
          </w:tcPr>
          <w:p w14:paraId="78608D93" w14:textId="77777777" w:rsidR="00C40B57" w:rsidRPr="00740741" w:rsidRDefault="00C716B9" w:rsidP="009E6CE8">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Capital source</w:t>
            </w:r>
            <w:r w:rsidR="00F51FE9" w:rsidRPr="00740741">
              <w:rPr>
                <w:rFonts w:ascii="Arial" w:hAnsi="Arial"/>
                <w:sz w:val="20"/>
                <w:szCs w:val="20"/>
              </w:rPr>
              <w:t>s</w:t>
            </w:r>
          </w:p>
        </w:tc>
        <w:tc>
          <w:tcPr>
            <w:tcW w:w="1945" w:type="dxa"/>
            <w:tcBorders>
              <w:top w:val="single" w:sz="4" w:space="0" w:color="000000"/>
              <w:left w:val="single" w:sz="4" w:space="0" w:color="000000"/>
            </w:tcBorders>
            <w:shd w:val="clear" w:color="auto" w:fill="FFFFFF"/>
            <w:vAlign w:val="center"/>
          </w:tcPr>
          <w:p w14:paraId="2B243870" w14:textId="77777777" w:rsidR="00C40B57" w:rsidRPr="00740741" w:rsidRDefault="00C40B57" w:rsidP="003B337B">
            <w:pPr>
              <w:spacing w:after="120" w:line="360" w:lineRule="auto"/>
              <w:ind w:right="159"/>
              <w:jc w:val="right"/>
              <w:rPr>
                <w:rFonts w:ascii="Arial" w:eastAsia="Arial" w:hAnsi="Arial" w:cs="Arial"/>
                <w:sz w:val="20"/>
                <w:szCs w:val="20"/>
              </w:rPr>
            </w:pPr>
          </w:p>
        </w:tc>
        <w:tc>
          <w:tcPr>
            <w:tcW w:w="2094" w:type="dxa"/>
            <w:tcBorders>
              <w:top w:val="single" w:sz="4" w:space="0" w:color="000000"/>
              <w:left w:val="single" w:sz="4" w:space="0" w:color="000000"/>
              <w:right w:val="single" w:sz="4" w:space="0" w:color="000000"/>
            </w:tcBorders>
            <w:shd w:val="clear" w:color="auto" w:fill="FFFFFF"/>
            <w:vAlign w:val="center"/>
          </w:tcPr>
          <w:p w14:paraId="2795FA3B" w14:textId="77777777" w:rsidR="00C40B57" w:rsidRPr="00740741" w:rsidRDefault="00C40B57" w:rsidP="003B337B">
            <w:pPr>
              <w:spacing w:after="120" w:line="360" w:lineRule="auto"/>
              <w:ind w:right="138"/>
              <w:jc w:val="right"/>
              <w:rPr>
                <w:rFonts w:ascii="Arial" w:eastAsia="Arial" w:hAnsi="Arial" w:cs="Arial"/>
                <w:sz w:val="20"/>
                <w:szCs w:val="20"/>
              </w:rPr>
            </w:pPr>
          </w:p>
        </w:tc>
      </w:tr>
      <w:tr w:rsidR="00C40B57" w:rsidRPr="00740741" w14:paraId="34D62EF6" w14:textId="77777777">
        <w:trPr>
          <w:trHeight w:val="20"/>
        </w:trPr>
        <w:tc>
          <w:tcPr>
            <w:tcW w:w="890" w:type="dxa"/>
            <w:tcBorders>
              <w:top w:val="single" w:sz="4" w:space="0" w:color="000000"/>
              <w:left w:val="single" w:sz="4" w:space="0" w:color="000000"/>
            </w:tcBorders>
            <w:shd w:val="clear" w:color="auto" w:fill="FFFFFF"/>
            <w:vAlign w:val="center"/>
          </w:tcPr>
          <w:p w14:paraId="792B444E"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1</w:t>
            </w:r>
          </w:p>
        </w:tc>
        <w:tc>
          <w:tcPr>
            <w:tcW w:w="4421" w:type="dxa"/>
            <w:tcBorders>
              <w:top w:val="single" w:sz="4" w:space="0" w:color="000000"/>
              <w:left w:val="single" w:sz="4" w:space="0" w:color="000000"/>
            </w:tcBorders>
            <w:shd w:val="clear" w:color="auto" w:fill="FFFFFF"/>
            <w:vAlign w:val="center"/>
          </w:tcPr>
          <w:p w14:paraId="0BE8576E" w14:textId="77777777" w:rsidR="00C40B57" w:rsidRPr="00740741" w:rsidRDefault="00C716B9" w:rsidP="009E6CE8">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Owners’ equity</w:t>
            </w:r>
          </w:p>
        </w:tc>
        <w:tc>
          <w:tcPr>
            <w:tcW w:w="1945" w:type="dxa"/>
            <w:tcBorders>
              <w:top w:val="single" w:sz="4" w:space="0" w:color="000000"/>
              <w:left w:val="single" w:sz="4" w:space="0" w:color="000000"/>
            </w:tcBorders>
            <w:shd w:val="clear" w:color="auto" w:fill="FFFFFF"/>
            <w:vAlign w:val="center"/>
          </w:tcPr>
          <w:p w14:paraId="6B6ECA6F" w14:textId="77777777" w:rsidR="00C40B57" w:rsidRPr="00740741" w:rsidRDefault="00C716B9" w:rsidP="003B337B">
            <w:pPr>
              <w:pBdr>
                <w:top w:val="nil"/>
                <w:left w:val="nil"/>
                <w:bottom w:val="nil"/>
                <w:right w:val="nil"/>
                <w:between w:val="nil"/>
              </w:pBdr>
              <w:spacing w:after="120" w:line="360" w:lineRule="auto"/>
              <w:ind w:right="159"/>
              <w:jc w:val="right"/>
              <w:rPr>
                <w:rFonts w:ascii="Arial" w:eastAsia="Arial" w:hAnsi="Arial" w:cs="Arial"/>
                <w:sz w:val="20"/>
                <w:szCs w:val="20"/>
              </w:rPr>
            </w:pPr>
            <w:r w:rsidRPr="00740741">
              <w:rPr>
                <w:rFonts w:ascii="Arial" w:hAnsi="Arial"/>
                <w:sz w:val="20"/>
                <w:szCs w:val="20"/>
              </w:rPr>
              <w:t>2,875</w:t>
            </w:r>
          </w:p>
        </w:tc>
        <w:tc>
          <w:tcPr>
            <w:tcW w:w="2094" w:type="dxa"/>
            <w:tcBorders>
              <w:top w:val="single" w:sz="4" w:space="0" w:color="000000"/>
              <w:left w:val="single" w:sz="4" w:space="0" w:color="000000"/>
              <w:right w:val="single" w:sz="4" w:space="0" w:color="000000"/>
            </w:tcBorders>
            <w:shd w:val="clear" w:color="auto" w:fill="FFFFFF"/>
            <w:vAlign w:val="center"/>
          </w:tcPr>
          <w:p w14:paraId="1458FC5D" w14:textId="77777777" w:rsidR="00C40B57" w:rsidRPr="00740741" w:rsidRDefault="00C716B9" w:rsidP="003B337B">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67.575</w:t>
            </w:r>
          </w:p>
        </w:tc>
      </w:tr>
      <w:tr w:rsidR="00C40B57" w:rsidRPr="00740741" w14:paraId="134BDE69" w14:textId="77777777">
        <w:trPr>
          <w:trHeight w:val="20"/>
        </w:trPr>
        <w:tc>
          <w:tcPr>
            <w:tcW w:w="890" w:type="dxa"/>
            <w:tcBorders>
              <w:top w:val="single" w:sz="4" w:space="0" w:color="000000"/>
              <w:left w:val="single" w:sz="4" w:space="0" w:color="000000"/>
              <w:bottom w:val="single" w:sz="4" w:space="0" w:color="000000"/>
            </w:tcBorders>
            <w:shd w:val="clear" w:color="auto" w:fill="FFFFFF"/>
            <w:vAlign w:val="center"/>
          </w:tcPr>
          <w:p w14:paraId="17D46F88"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2</w:t>
            </w:r>
          </w:p>
        </w:tc>
        <w:tc>
          <w:tcPr>
            <w:tcW w:w="4421" w:type="dxa"/>
            <w:tcBorders>
              <w:top w:val="single" w:sz="4" w:space="0" w:color="000000"/>
              <w:left w:val="single" w:sz="4" w:space="0" w:color="000000"/>
              <w:bottom w:val="single" w:sz="4" w:space="0" w:color="000000"/>
            </w:tcBorders>
            <w:shd w:val="clear" w:color="auto" w:fill="FFFFFF"/>
            <w:vAlign w:val="center"/>
          </w:tcPr>
          <w:p w14:paraId="4BC777EB" w14:textId="77777777" w:rsidR="00C40B57" w:rsidRPr="00740741" w:rsidRDefault="00C716B9" w:rsidP="009E6CE8">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Bank loan capital</w:t>
            </w:r>
          </w:p>
        </w:tc>
        <w:tc>
          <w:tcPr>
            <w:tcW w:w="1945" w:type="dxa"/>
            <w:tcBorders>
              <w:top w:val="single" w:sz="4" w:space="0" w:color="000000"/>
              <w:left w:val="single" w:sz="4" w:space="0" w:color="000000"/>
              <w:bottom w:val="single" w:sz="4" w:space="0" w:color="000000"/>
            </w:tcBorders>
            <w:shd w:val="clear" w:color="auto" w:fill="FFFFFF"/>
            <w:vAlign w:val="center"/>
          </w:tcPr>
          <w:p w14:paraId="3E503F19" w14:textId="77777777" w:rsidR="00C40B57" w:rsidRPr="00740741" w:rsidRDefault="00C716B9" w:rsidP="003B337B">
            <w:pPr>
              <w:pBdr>
                <w:top w:val="nil"/>
                <w:left w:val="nil"/>
                <w:bottom w:val="nil"/>
                <w:right w:val="nil"/>
                <w:between w:val="nil"/>
              </w:pBdr>
              <w:spacing w:after="120" w:line="360" w:lineRule="auto"/>
              <w:ind w:right="159"/>
              <w:jc w:val="right"/>
              <w:rPr>
                <w:rFonts w:ascii="Arial" w:eastAsia="Arial" w:hAnsi="Arial" w:cs="Arial"/>
                <w:sz w:val="20"/>
                <w:szCs w:val="20"/>
              </w:rPr>
            </w:pPr>
            <w:r w:rsidRPr="00740741">
              <w:rPr>
                <w:rFonts w:ascii="Arial" w:hAnsi="Arial"/>
                <w:sz w:val="20"/>
                <w:szCs w:val="20"/>
              </w:rPr>
              <w:t>4.213</w:t>
            </w:r>
          </w:p>
        </w:tc>
        <w:tc>
          <w:tcPr>
            <w:tcW w:w="20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17BEC" w14:textId="77777777" w:rsidR="00C40B57" w:rsidRPr="00740741" w:rsidRDefault="00C716B9" w:rsidP="003B337B">
            <w:pPr>
              <w:pBdr>
                <w:top w:val="nil"/>
                <w:left w:val="nil"/>
                <w:bottom w:val="nil"/>
                <w:right w:val="nil"/>
                <w:between w:val="nil"/>
              </w:pBdr>
              <w:spacing w:after="120" w:line="360" w:lineRule="auto"/>
              <w:ind w:right="138"/>
              <w:jc w:val="right"/>
              <w:rPr>
                <w:rFonts w:ascii="Arial" w:eastAsia="Arial" w:hAnsi="Arial" w:cs="Arial"/>
                <w:sz w:val="20"/>
                <w:szCs w:val="20"/>
              </w:rPr>
            </w:pPr>
            <w:r w:rsidRPr="00740741">
              <w:rPr>
                <w:rFonts w:ascii="Arial" w:hAnsi="Arial"/>
                <w:sz w:val="20"/>
                <w:szCs w:val="20"/>
              </w:rPr>
              <w:t>99.000</w:t>
            </w:r>
          </w:p>
        </w:tc>
      </w:tr>
    </w:tbl>
    <w:p w14:paraId="60A0152B" w14:textId="77777777" w:rsidR="008D2E0D" w:rsidRPr="00740741" w:rsidRDefault="008D2E0D" w:rsidP="008D2E0D">
      <w:pPr>
        <w:widowControl/>
        <w:pBdr>
          <w:top w:val="nil"/>
          <w:left w:val="nil"/>
          <w:bottom w:val="nil"/>
          <w:right w:val="nil"/>
          <w:between w:val="nil"/>
        </w:pBdr>
        <w:spacing w:after="120" w:line="360" w:lineRule="auto"/>
        <w:ind w:left="360"/>
        <w:jc w:val="both"/>
        <w:rPr>
          <w:rFonts w:ascii="Arial" w:eastAsia="Arial" w:hAnsi="Arial" w:cs="Arial"/>
          <w:sz w:val="20"/>
          <w:szCs w:val="20"/>
        </w:rPr>
      </w:pPr>
      <w:r w:rsidRPr="00740741">
        <w:rPr>
          <w:rFonts w:ascii="Arial" w:eastAsia="Arial" w:hAnsi="Arial" w:cs="Arial"/>
          <w:sz w:val="20"/>
          <w:szCs w:val="20"/>
        </w:rPr>
        <w:t>Note: Planned exchange rate in 2021: USD 1 = VND 23,500.</w:t>
      </w:r>
    </w:p>
    <w:p w14:paraId="78590735" w14:textId="77777777"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Approve the investment project of 01 oil/chemical </w:t>
      </w:r>
      <w:proofErr w:type="gramStart"/>
      <w:r w:rsidRPr="00740741">
        <w:rPr>
          <w:rFonts w:ascii="Arial" w:hAnsi="Arial"/>
          <w:sz w:val="20"/>
          <w:szCs w:val="20"/>
        </w:rPr>
        <w:t>tanker</w:t>
      </w:r>
      <w:proofErr w:type="gramEnd"/>
      <w:r w:rsidR="00A81D0C" w:rsidRPr="00740741">
        <w:rPr>
          <w:rFonts w:ascii="Arial" w:hAnsi="Arial"/>
          <w:sz w:val="20"/>
          <w:szCs w:val="20"/>
        </w:rPr>
        <w:t xml:space="preserve"> </w:t>
      </w:r>
      <w:r w:rsidRPr="00740741">
        <w:rPr>
          <w:rFonts w:ascii="Arial" w:hAnsi="Arial"/>
          <w:sz w:val="20"/>
          <w:szCs w:val="20"/>
        </w:rPr>
        <w:t>with a tonnage of about 13,000DWT with a number of basic contents as follows:</w:t>
      </w:r>
    </w:p>
    <w:p w14:paraId="0A766E60" w14:textId="77777777" w:rsidR="00C40B57" w:rsidRPr="00740741" w:rsidRDefault="00C716B9" w:rsidP="00C716B9">
      <w:pPr>
        <w:widowControl/>
        <w:numPr>
          <w:ilvl w:val="0"/>
          <w:numId w:val="4"/>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Name of project: Investment project of 01 oil/chemical </w:t>
      </w:r>
      <w:proofErr w:type="gramStart"/>
      <w:r w:rsidRPr="00740741">
        <w:rPr>
          <w:rFonts w:ascii="Arial" w:hAnsi="Arial"/>
          <w:sz w:val="20"/>
          <w:szCs w:val="20"/>
        </w:rPr>
        <w:t>tanker</w:t>
      </w:r>
      <w:proofErr w:type="gramEnd"/>
      <w:r w:rsidRPr="00740741">
        <w:rPr>
          <w:rFonts w:ascii="Arial" w:hAnsi="Arial"/>
          <w:sz w:val="20"/>
          <w:szCs w:val="20"/>
        </w:rPr>
        <w:t xml:space="preserve"> wi</w:t>
      </w:r>
      <w:r w:rsidR="003643C1" w:rsidRPr="00740741">
        <w:rPr>
          <w:rFonts w:ascii="Arial" w:hAnsi="Arial"/>
          <w:sz w:val="20"/>
          <w:szCs w:val="20"/>
        </w:rPr>
        <w:t>th a tonnage of about 13,000DWT.</w:t>
      </w:r>
    </w:p>
    <w:p w14:paraId="7C74FE90" w14:textId="77777777" w:rsidR="00C40B57" w:rsidRPr="00740741" w:rsidRDefault="00C716B9" w:rsidP="00C716B9">
      <w:pPr>
        <w:widowControl/>
        <w:numPr>
          <w:ilvl w:val="0"/>
          <w:numId w:val="4"/>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Project’s objective: Contribute to increase revenue and profit, improve the efficiency of capital use for shareholders.</w:t>
      </w:r>
    </w:p>
    <w:p w14:paraId="2F56C22A" w14:textId="77777777" w:rsidR="00C40B57" w:rsidRPr="00740741" w:rsidRDefault="00C716B9" w:rsidP="00C716B9">
      <w:pPr>
        <w:widowControl/>
        <w:numPr>
          <w:ilvl w:val="0"/>
          <w:numId w:val="4"/>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Investor: Indochina Petroleum Transportation Joint Stock Company.</w:t>
      </w:r>
    </w:p>
    <w:p w14:paraId="2E6395CF" w14:textId="77777777" w:rsidR="00C40B57" w:rsidRPr="00740741" w:rsidRDefault="00C716B9" w:rsidP="00C716B9">
      <w:pPr>
        <w:widowControl/>
        <w:numPr>
          <w:ilvl w:val="0"/>
          <w:numId w:val="4"/>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Total investment value: VND 166,574,500,000 (including import tax, registration fee, installation cost of ballast water treatment system, survey/inspection/shipment fee and other contingency costs).</w:t>
      </w:r>
    </w:p>
    <w:p w14:paraId="3D76E3CA" w14:textId="77777777" w:rsidR="00C40B57" w:rsidRPr="00740741" w:rsidRDefault="00C716B9" w:rsidP="00C716B9">
      <w:pPr>
        <w:widowControl/>
        <w:numPr>
          <w:ilvl w:val="0"/>
          <w:numId w:val="4"/>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Structure of investment capital: The loan capital accounts for no more than 65% of the ship purchase value, the rest is from owners’ equity.</w:t>
      </w:r>
    </w:p>
    <w:p w14:paraId="150DA210" w14:textId="77777777" w:rsidR="00C40B57" w:rsidRPr="00740741" w:rsidRDefault="00C716B9" w:rsidP="00C716B9">
      <w:pPr>
        <w:widowControl/>
        <w:numPr>
          <w:ilvl w:val="0"/>
          <w:numId w:val="4"/>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The age of the ship: No more than 15 years old, in accordance with the provision of Decree No. 71/2016/ND-CP dated </w:t>
      </w:r>
      <w:r w:rsidR="000313F5" w:rsidRPr="00740741">
        <w:rPr>
          <w:rFonts w:ascii="Arial" w:hAnsi="Arial"/>
          <w:sz w:val="20"/>
          <w:szCs w:val="20"/>
        </w:rPr>
        <w:t xml:space="preserve">on </w:t>
      </w:r>
      <w:r w:rsidRPr="00740741">
        <w:rPr>
          <w:rFonts w:ascii="Arial" w:hAnsi="Arial"/>
          <w:sz w:val="20"/>
          <w:szCs w:val="20"/>
        </w:rPr>
        <w:t>December 27, 2016 of the Government on registration, deregistration, purchase, sale and new construction of ships.</w:t>
      </w:r>
    </w:p>
    <w:p w14:paraId="470F05F2" w14:textId="77777777" w:rsidR="00C40B57" w:rsidRPr="00740741" w:rsidRDefault="00C716B9" w:rsidP="00C716B9">
      <w:pPr>
        <w:widowControl/>
        <w:numPr>
          <w:ilvl w:val="0"/>
          <w:numId w:val="4"/>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Shipyard: Japan, South Korea</w:t>
      </w:r>
      <w:r w:rsidR="00F177B4" w:rsidRPr="00740741">
        <w:rPr>
          <w:rFonts w:ascii="Arial" w:hAnsi="Arial"/>
          <w:sz w:val="20"/>
          <w:szCs w:val="20"/>
        </w:rPr>
        <w:t>.</w:t>
      </w:r>
    </w:p>
    <w:p w14:paraId="2663EF5B" w14:textId="77777777" w:rsidR="00C40B57" w:rsidRPr="00740741" w:rsidRDefault="00C716B9" w:rsidP="00C716B9">
      <w:pPr>
        <w:widowControl/>
        <w:numPr>
          <w:ilvl w:val="0"/>
          <w:numId w:val="4"/>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The economic efficiency targets of the project are not lower than the minimum as follows:</w:t>
      </w:r>
    </w:p>
    <w:p w14:paraId="62E232C0" w14:textId="77777777" w:rsidR="00C40B57" w:rsidRPr="00740741" w:rsidRDefault="00C716B9" w:rsidP="00C716B9">
      <w:pPr>
        <w:widowControl/>
        <w:numPr>
          <w:ilvl w:val="0"/>
          <w:numId w:val="1"/>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Internal rate of return (IRR): 12.18%</w:t>
      </w:r>
    </w:p>
    <w:p w14:paraId="1AC1CE89" w14:textId="77777777" w:rsidR="00C40B57" w:rsidRPr="00740741" w:rsidRDefault="00C716B9" w:rsidP="00C716B9">
      <w:pPr>
        <w:widowControl/>
        <w:numPr>
          <w:ilvl w:val="0"/>
          <w:numId w:val="1"/>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Return on equity (ROE): 16.62%</w:t>
      </w:r>
    </w:p>
    <w:p w14:paraId="181D2EFF" w14:textId="77777777" w:rsidR="00C40B57" w:rsidRPr="00740741" w:rsidRDefault="00C716B9" w:rsidP="00C716B9">
      <w:pPr>
        <w:widowControl/>
        <w:numPr>
          <w:ilvl w:val="0"/>
          <w:numId w:val="1"/>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Net present value (NPV) of projects: VND 42,278,787,812.</w:t>
      </w:r>
    </w:p>
    <w:p w14:paraId="32A09C38" w14:textId="77777777" w:rsidR="00C40B57" w:rsidRPr="00740741" w:rsidRDefault="00C716B9" w:rsidP="00C716B9">
      <w:pPr>
        <w:widowControl/>
        <w:numPr>
          <w:ilvl w:val="0"/>
          <w:numId w:val="1"/>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lastRenderedPageBreak/>
        <w:t>Net present value (NPV) of the investor: 49,525,631,784</w:t>
      </w:r>
    </w:p>
    <w:p w14:paraId="5695D0EE" w14:textId="77777777" w:rsidR="00C40B57" w:rsidRPr="00740741" w:rsidRDefault="00C716B9" w:rsidP="00C716B9">
      <w:pPr>
        <w:widowControl/>
        <w:numPr>
          <w:ilvl w:val="0"/>
          <w:numId w:val="1"/>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The payback period of the project is not more than: 9.2 years</w:t>
      </w:r>
    </w:p>
    <w:p w14:paraId="4C7D2A54" w14:textId="77777777" w:rsidR="00C40B57" w:rsidRPr="00740741" w:rsidRDefault="00C716B9" w:rsidP="00C716B9">
      <w:pPr>
        <w:widowControl/>
        <w:numPr>
          <w:ilvl w:val="0"/>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Expected ship purchase time: 2021</w:t>
      </w:r>
      <w:r w:rsidR="00951331" w:rsidRPr="00740741">
        <w:rPr>
          <w:rFonts w:ascii="Arial" w:hAnsi="Arial"/>
          <w:sz w:val="20"/>
          <w:szCs w:val="20"/>
        </w:rPr>
        <w:t>.</w:t>
      </w:r>
    </w:p>
    <w:p w14:paraId="78CDB99F" w14:textId="77777777" w:rsidR="00C40B57" w:rsidRPr="00740741" w:rsidRDefault="00C716B9" w:rsidP="00C716B9">
      <w:pPr>
        <w:widowControl/>
        <w:numPr>
          <w:ilvl w:val="0"/>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Authorize the Board of Directors of the Company to:</w:t>
      </w:r>
    </w:p>
    <w:p w14:paraId="0756F231" w14:textId="77777777" w:rsidR="00C40B57" w:rsidRPr="00740741" w:rsidRDefault="000C3714" w:rsidP="00C716B9">
      <w:pPr>
        <w:widowControl/>
        <w:numPr>
          <w:ilvl w:val="0"/>
          <w:numId w:val="2"/>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Approve/</w:t>
      </w:r>
      <w:r w:rsidR="00951331" w:rsidRPr="00740741">
        <w:rPr>
          <w:rFonts w:ascii="Arial" w:hAnsi="Arial"/>
          <w:sz w:val="20"/>
          <w:szCs w:val="20"/>
        </w:rPr>
        <w:t>decide</w:t>
      </w:r>
      <w:r w:rsidR="00C716B9" w:rsidRPr="00740741">
        <w:rPr>
          <w:rFonts w:ascii="Arial" w:hAnsi="Arial"/>
          <w:sz w:val="20"/>
          <w:szCs w:val="20"/>
        </w:rPr>
        <w:t xml:space="preserve"> on updating the project investment report, the bank loan, the investment implementation plan to purchase the ship, the result of investment selection, post-investment exploitation business direction and next steps to implement the investment project of 01 fuel tanker with a tonnage of about 13,000 DWT on the basis of current provision of law, the Company's charter and regulations.</w:t>
      </w:r>
    </w:p>
    <w:p w14:paraId="2D95E4CB" w14:textId="77777777" w:rsidR="00C40B57" w:rsidRPr="00740741" w:rsidRDefault="00C716B9" w:rsidP="00C716B9">
      <w:pPr>
        <w:widowControl/>
        <w:numPr>
          <w:ilvl w:val="0"/>
          <w:numId w:val="2"/>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Approve the project adjustment (if any) to en</w:t>
      </w:r>
      <w:r w:rsidR="00772FE1" w:rsidRPr="00740741">
        <w:rPr>
          <w:rFonts w:ascii="Arial" w:hAnsi="Arial"/>
          <w:sz w:val="20"/>
          <w:szCs w:val="20"/>
        </w:rPr>
        <w:t xml:space="preserve">sure compliance with the reality </w:t>
      </w:r>
      <w:r w:rsidRPr="00740741">
        <w:rPr>
          <w:rFonts w:ascii="Arial" w:hAnsi="Arial"/>
          <w:sz w:val="20"/>
          <w:szCs w:val="20"/>
        </w:rPr>
        <w:t>on the principle that the economic efficiency of the project is not lower than that of the project approved by the General Meeting of Shareholders.</w:t>
      </w:r>
    </w:p>
    <w:p w14:paraId="6A7712EA" w14:textId="77777777"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The plan </w:t>
      </w:r>
      <w:r w:rsidR="006F509C" w:rsidRPr="00740741">
        <w:rPr>
          <w:rFonts w:ascii="Arial" w:hAnsi="Arial"/>
          <w:sz w:val="20"/>
          <w:szCs w:val="20"/>
        </w:rPr>
        <w:t>on</w:t>
      </w:r>
      <w:r w:rsidRPr="00740741">
        <w:rPr>
          <w:rFonts w:ascii="Arial" w:hAnsi="Arial"/>
          <w:sz w:val="20"/>
          <w:szCs w:val="20"/>
        </w:rPr>
        <w:t xml:space="preserve"> profit distribution and appropriation for funds in 2020.</w:t>
      </w:r>
    </w:p>
    <w:tbl>
      <w:tblPr>
        <w:tblStyle w:val="a2"/>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
        <w:gridCol w:w="5352"/>
        <w:gridCol w:w="1763"/>
        <w:gridCol w:w="1634"/>
      </w:tblGrid>
      <w:tr w:rsidR="00C40B57" w:rsidRPr="00740741" w14:paraId="5EFB59E3" w14:textId="77777777">
        <w:trPr>
          <w:trHeight w:val="20"/>
          <w:jc w:val="center"/>
        </w:trPr>
        <w:tc>
          <w:tcPr>
            <w:tcW w:w="601" w:type="dxa"/>
            <w:shd w:val="clear" w:color="auto" w:fill="FFFFFF"/>
            <w:vAlign w:val="center"/>
          </w:tcPr>
          <w:p w14:paraId="751D8CAC"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 xml:space="preserve">No. </w:t>
            </w:r>
          </w:p>
        </w:tc>
        <w:tc>
          <w:tcPr>
            <w:tcW w:w="5352" w:type="dxa"/>
            <w:shd w:val="clear" w:color="auto" w:fill="FFFFFF"/>
            <w:vAlign w:val="center"/>
          </w:tcPr>
          <w:p w14:paraId="09AA9162"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Content</w:t>
            </w:r>
            <w:r w:rsidR="00A40010" w:rsidRPr="00740741">
              <w:rPr>
                <w:rFonts w:ascii="Arial" w:hAnsi="Arial"/>
                <w:sz w:val="20"/>
                <w:szCs w:val="20"/>
              </w:rPr>
              <w:t>s</w:t>
            </w:r>
          </w:p>
        </w:tc>
        <w:tc>
          <w:tcPr>
            <w:tcW w:w="1763" w:type="dxa"/>
            <w:shd w:val="clear" w:color="auto" w:fill="FFFFFF"/>
            <w:vAlign w:val="center"/>
          </w:tcPr>
          <w:p w14:paraId="6F98097B"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Amount</w:t>
            </w:r>
          </w:p>
          <w:p w14:paraId="36B0AC52"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(VND)</w:t>
            </w:r>
          </w:p>
        </w:tc>
        <w:tc>
          <w:tcPr>
            <w:tcW w:w="1634" w:type="dxa"/>
            <w:shd w:val="clear" w:color="auto" w:fill="FFFFFF"/>
            <w:vAlign w:val="center"/>
          </w:tcPr>
          <w:p w14:paraId="32CF8A59" w14:textId="77777777" w:rsidR="00C40B57" w:rsidRPr="00740741" w:rsidRDefault="00C716B9" w:rsidP="00C716B9">
            <w:pPr>
              <w:pBdr>
                <w:top w:val="nil"/>
                <w:left w:val="nil"/>
                <w:bottom w:val="nil"/>
                <w:right w:val="nil"/>
                <w:between w:val="nil"/>
              </w:pBdr>
              <w:spacing w:after="120" w:line="360" w:lineRule="auto"/>
              <w:ind w:right="340"/>
              <w:jc w:val="center"/>
              <w:rPr>
                <w:rFonts w:ascii="Arial" w:eastAsia="Arial" w:hAnsi="Arial" w:cs="Arial"/>
                <w:sz w:val="20"/>
                <w:szCs w:val="20"/>
              </w:rPr>
            </w:pPr>
            <w:r w:rsidRPr="00740741">
              <w:rPr>
                <w:rFonts w:ascii="Arial" w:hAnsi="Arial"/>
                <w:sz w:val="20"/>
                <w:szCs w:val="20"/>
              </w:rPr>
              <w:t>Note</w:t>
            </w:r>
          </w:p>
        </w:tc>
      </w:tr>
      <w:tr w:rsidR="00C40B57" w:rsidRPr="00740741" w14:paraId="036F22FA" w14:textId="77777777">
        <w:trPr>
          <w:trHeight w:val="20"/>
          <w:jc w:val="center"/>
        </w:trPr>
        <w:tc>
          <w:tcPr>
            <w:tcW w:w="601" w:type="dxa"/>
            <w:shd w:val="clear" w:color="auto" w:fill="FFFFFF"/>
            <w:vAlign w:val="center"/>
          </w:tcPr>
          <w:p w14:paraId="6BB44655"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I</w:t>
            </w:r>
          </w:p>
        </w:tc>
        <w:tc>
          <w:tcPr>
            <w:tcW w:w="5352" w:type="dxa"/>
            <w:shd w:val="clear" w:color="auto" w:fill="FFFFFF"/>
            <w:vAlign w:val="center"/>
          </w:tcPr>
          <w:p w14:paraId="7DFB2828" w14:textId="77777777" w:rsidR="00C40B57" w:rsidRPr="00740741" w:rsidRDefault="00C716B9" w:rsidP="00CA1896">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Undistributed profit after tax</w:t>
            </w:r>
          </w:p>
        </w:tc>
        <w:tc>
          <w:tcPr>
            <w:tcW w:w="1763" w:type="dxa"/>
            <w:shd w:val="clear" w:color="auto" w:fill="FFFFFF"/>
            <w:vAlign w:val="center"/>
          </w:tcPr>
          <w:p w14:paraId="27407B59" w14:textId="77777777" w:rsidR="00C40B57" w:rsidRPr="00740741" w:rsidRDefault="00C716B9" w:rsidP="00A40010">
            <w:pPr>
              <w:pBdr>
                <w:top w:val="nil"/>
                <w:left w:val="nil"/>
                <w:bottom w:val="nil"/>
                <w:right w:val="nil"/>
                <w:between w:val="nil"/>
              </w:pBdr>
              <w:spacing w:after="120" w:line="360" w:lineRule="auto"/>
              <w:ind w:right="51"/>
              <w:jc w:val="right"/>
              <w:rPr>
                <w:rFonts w:ascii="Arial" w:eastAsia="Arial" w:hAnsi="Arial" w:cs="Arial"/>
                <w:sz w:val="20"/>
                <w:szCs w:val="20"/>
              </w:rPr>
            </w:pPr>
            <w:r w:rsidRPr="00740741">
              <w:rPr>
                <w:rFonts w:ascii="Arial" w:hAnsi="Arial"/>
                <w:sz w:val="20"/>
                <w:szCs w:val="20"/>
              </w:rPr>
              <w:t>9,456,273,607</w:t>
            </w:r>
          </w:p>
        </w:tc>
        <w:tc>
          <w:tcPr>
            <w:tcW w:w="1634" w:type="dxa"/>
            <w:shd w:val="clear" w:color="auto" w:fill="FFFFFF"/>
            <w:vAlign w:val="center"/>
          </w:tcPr>
          <w:p w14:paraId="6FC8BFB3" w14:textId="77777777" w:rsidR="00C40B57" w:rsidRPr="00740741" w:rsidRDefault="00C40B57" w:rsidP="00CA1896">
            <w:pPr>
              <w:pBdr>
                <w:top w:val="nil"/>
                <w:left w:val="nil"/>
                <w:bottom w:val="nil"/>
                <w:right w:val="nil"/>
                <w:between w:val="nil"/>
              </w:pBdr>
              <w:spacing w:after="120" w:line="360" w:lineRule="auto"/>
              <w:rPr>
                <w:rFonts w:ascii="Arial" w:eastAsia="Arial" w:hAnsi="Arial" w:cs="Arial"/>
                <w:sz w:val="20"/>
                <w:szCs w:val="20"/>
              </w:rPr>
            </w:pPr>
          </w:p>
        </w:tc>
      </w:tr>
      <w:tr w:rsidR="00C40B57" w:rsidRPr="00740741" w14:paraId="6CD70168" w14:textId="77777777">
        <w:trPr>
          <w:trHeight w:val="20"/>
          <w:jc w:val="center"/>
        </w:trPr>
        <w:tc>
          <w:tcPr>
            <w:tcW w:w="601" w:type="dxa"/>
            <w:shd w:val="clear" w:color="auto" w:fill="FFFFFF"/>
            <w:vAlign w:val="center"/>
          </w:tcPr>
          <w:p w14:paraId="599D887E"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1</w:t>
            </w:r>
          </w:p>
        </w:tc>
        <w:tc>
          <w:tcPr>
            <w:tcW w:w="5352" w:type="dxa"/>
            <w:shd w:val="clear" w:color="auto" w:fill="FFFFFF"/>
            <w:vAlign w:val="center"/>
          </w:tcPr>
          <w:p w14:paraId="0B8A220B" w14:textId="77777777" w:rsidR="00C40B57" w:rsidRPr="00740741" w:rsidRDefault="00C716B9" w:rsidP="00CA1896">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Retained amount from previous years</w:t>
            </w:r>
          </w:p>
        </w:tc>
        <w:tc>
          <w:tcPr>
            <w:tcW w:w="1763" w:type="dxa"/>
            <w:shd w:val="clear" w:color="auto" w:fill="FFFFFF"/>
            <w:vAlign w:val="center"/>
          </w:tcPr>
          <w:p w14:paraId="4D48B26C" w14:textId="77777777" w:rsidR="00C40B57" w:rsidRPr="00740741" w:rsidRDefault="00C716B9" w:rsidP="00A40010">
            <w:pPr>
              <w:pBdr>
                <w:top w:val="nil"/>
                <w:left w:val="nil"/>
                <w:bottom w:val="nil"/>
                <w:right w:val="nil"/>
                <w:between w:val="nil"/>
              </w:pBdr>
              <w:spacing w:after="120" w:line="360" w:lineRule="auto"/>
              <w:ind w:right="51"/>
              <w:jc w:val="right"/>
              <w:rPr>
                <w:rFonts w:ascii="Arial" w:eastAsia="Arial" w:hAnsi="Arial" w:cs="Arial"/>
                <w:sz w:val="20"/>
                <w:szCs w:val="20"/>
              </w:rPr>
            </w:pPr>
            <w:r w:rsidRPr="00740741">
              <w:rPr>
                <w:rFonts w:ascii="Arial" w:hAnsi="Arial"/>
                <w:sz w:val="20"/>
                <w:szCs w:val="20"/>
              </w:rPr>
              <w:t>8,616,877,695</w:t>
            </w:r>
          </w:p>
        </w:tc>
        <w:tc>
          <w:tcPr>
            <w:tcW w:w="1634" w:type="dxa"/>
            <w:shd w:val="clear" w:color="auto" w:fill="FFFFFF"/>
            <w:vAlign w:val="center"/>
          </w:tcPr>
          <w:p w14:paraId="78F1BC70" w14:textId="77777777" w:rsidR="00C40B57" w:rsidRPr="00740741" w:rsidRDefault="00C40B57" w:rsidP="00CA1896">
            <w:pPr>
              <w:spacing w:after="120" w:line="360" w:lineRule="auto"/>
              <w:rPr>
                <w:rFonts w:ascii="Arial" w:eastAsia="Arial" w:hAnsi="Arial" w:cs="Arial"/>
                <w:sz w:val="20"/>
                <w:szCs w:val="20"/>
              </w:rPr>
            </w:pPr>
          </w:p>
        </w:tc>
      </w:tr>
      <w:tr w:rsidR="00C40B57" w:rsidRPr="00740741" w14:paraId="2CDAF00E" w14:textId="77777777">
        <w:trPr>
          <w:trHeight w:val="20"/>
          <w:jc w:val="center"/>
        </w:trPr>
        <w:tc>
          <w:tcPr>
            <w:tcW w:w="601" w:type="dxa"/>
            <w:shd w:val="clear" w:color="auto" w:fill="FFFFFF"/>
            <w:vAlign w:val="center"/>
          </w:tcPr>
          <w:p w14:paraId="0F5DE234"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2</w:t>
            </w:r>
          </w:p>
        </w:tc>
        <w:tc>
          <w:tcPr>
            <w:tcW w:w="5352" w:type="dxa"/>
            <w:shd w:val="clear" w:color="auto" w:fill="FFFFFF"/>
            <w:vAlign w:val="center"/>
          </w:tcPr>
          <w:p w14:paraId="1FBB9C44" w14:textId="77777777" w:rsidR="00C40B57" w:rsidRPr="00740741" w:rsidRDefault="00C716B9" w:rsidP="009504E6">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2020</w:t>
            </w:r>
          </w:p>
        </w:tc>
        <w:tc>
          <w:tcPr>
            <w:tcW w:w="1763" w:type="dxa"/>
            <w:shd w:val="clear" w:color="auto" w:fill="FFFFFF"/>
            <w:vAlign w:val="center"/>
          </w:tcPr>
          <w:p w14:paraId="7B669918" w14:textId="77777777" w:rsidR="00C40B57" w:rsidRPr="00740741" w:rsidRDefault="00C716B9" w:rsidP="00A40010">
            <w:pPr>
              <w:pBdr>
                <w:top w:val="nil"/>
                <w:left w:val="nil"/>
                <w:bottom w:val="nil"/>
                <w:right w:val="nil"/>
                <w:between w:val="nil"/>
              </w:pBdr>
              <w:spacing w:after="120" w:line="360" w:lineRule="auto"/>
              <w:ind w:right="51"/>
              <w:jc w:val="right"/>
              <w:rPr>
                <w:rFonts w:ascii="Arial" w:eastAsia="Arial" w:hAnsi="Arial" w:cs="Arial"/>
                <w:sz w:val="20"/>
                <w:szCs w:val="20"/>
              </w:rPr>
            </w:pPr>
            <w:r w:rsidRPr="00740741">
              <w:rPr>
                <w:rFonts w:ascii="Arial" w:hAnsi="Arial"/>
                <w:sz w:val="20"/>
                <w:szCs w:val="20"/>
              </w:rPr>
              <w:t>839,395,912</w:t>
            </w:r>
          </w:p>
        </w:tc>
        <w:tc>
          <w:tcPr>
            <w:tcW w:w="1634" w:type="dxa"/>
            <w:shd w:val="clear" w:color="auto" w:fill="FFFFFF"/>
            <w:vAlign w:val="center"/>
          </w:tcPr>
          <w:p w14:paraId="2A0C16FF" w14:textId="77777777" w:rsidR="00C40B57" w:rsidRPr="00740741" w:rsidRDefault="00C40B57" w:rsidP="00CA1896">
            <w:pPr>
              <w:spacing w:after="120" w:line="360" w:lineRule="auto"/>
              <w:rPr>
                <w:rFonts w:ascii="Arial" w:eastAsia="Arial" w:hAnsi="Arial" w:cs="Arial"/>
                <w:sz w:val="20"/>
                <w:szCs w:val="20"/>
              </w:rPr>
            </w:pPr>
          </w:p>
        </w:tc>
      </w:tr>
      <w:tr w:rsidR="00C40B57" w:rsidRPr="00740741" w14:paraId="4187D7EF" w14:textId="77777777">
        <w:trPr>
          <w:trHeight w:val="20"/>
          <w:jc w:val="center"/>
        </w:trPr>
        <w:tc>
          <w:tcPr>
            <w:tcW w:w="601" w:type="dxa"/>
            <w:shd w:val="clear" w:color="auto" w:fill="FFFFFF"/>
            <w:vAlign w:val="center"/>
          </w:tcPr>
          <w:p w14:paraId="6638247F" w14:textId="1C7257FA"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II</w:t>
            </w:r>
          </w:p>
        </w:tc>
        <w:tc>
          <w:tcPr>
            <w:tcW w:w="5352" w:type="dxa"/>
            <w:shd w:val="clear" w:color="auto" w:fill="FFFFFF"/>
            <w:vAlign w:val="center"/>
          </w:tcPr>
          <w:p w14:paraId="12DD0D0F" w14:textId="77777777" w:rsidR="00C40B57" w:rsidRPr="00740741" w:rsidRDefault="00C716B9" w:rsidP="00CA1896">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Profit distribution</w:t>
            </w:r>
          </w:p>
        </w:tc>
        <w:tc>
          <w:tcPr>
            <w:tcW w:w="1763" w:type="dxa"/>
            <w:shd w:val="clear" w:color="auto" w:fill="FFFFFF"/>
            <w:vAlign w:val="center"/>
          </w:tcPr>
          <w:p w14:paraId="454AA1A9" w14:textId="77777777" w:rsidR="00C40B57" w:rsidRPr="00740741" w:rsidRDefault="00C716B9" w:rsidP="00A40010">
            <w:pPr>
              <w:pBdr>
                <w:top w:val="nil"/>
                <w:left w:val="nil"/>
                <w:bottom w:val="nil"/>
                <w:right w:val="nil"/>
                <w:between w:val="nil"/>
              </w:pBdr>
              <w:spacing w:after="120" w:line="360" w:lineRule="auto"/>
              <w:ind w:right="51"/>
              <w:jc w:val="right"/>
              <w:rPr>
                <w:rFonts w:ascii="Arial" w:eastAsia="Arial" w:hAnsi="Arial" w:cs="Arial"/>
                <w:sz w:val="20"/>
                <w:szCs w:val="20"/>
              </w:rPr>
            </w:pPr>
            <w:r w:rsidRPr="00740741">
              <w:rPr>
                <w:rFonts w:ascii="Arial" w:hAnsi="Arial"/>
                <w:sz w:val="20"/>
                <w:szCs w:val="20"/>
              </w:rPr>
              <w:t>9,441,970,000</w:t>
            </w:r>
          </w:p>
        </w:tc>
        <w:tc>
          <w:tcPr>
            <w:tcW w:w="1634" w:type="dxa"/>
            <w:shd w:val="clear" w:color="auto" w:fill="FFFFFF"/>
            <w:vAlign w:val="center"/>
          </w:tcPr>
          <w:p w14:paraId="5B28A67C" w14:textId="77777777" w:rsidR="00C40B57" w:rsidRPr="00740741" w:rsidRDefault="00C40B57" w:rsidP="00CA1896">
            <w:pPr>
              <w:spacing w:after="120" w:line="360" w:lineRule="auto"/>
              <w:rPr>
                <w:rFonts w:ascii="Arial" w:eastAsia="Arial" w:hAnsi="Arial" w:cs="Arial"/>
                <w:sz w:val="20"/>
                <w:szCs w:val="20"/>
              </w:rPr>
            </w:pPr>
          </w:p>
        </w:tc>
      </w:tr>
      <w:tr w:rsidR="00C40B57" w:rsidRPr="00740741" w14:paraId="543AE062" w14:textId="77777777">
        <w:trPr>
          <w:trHeight w:val="20"/>
          <w:jc w:val="center"/>
        </w:trPr>
        <w:tc>
          <w:tcPr>
            <w:tcW w:w="601" w:type="dxa"/>
            <w:shd w:val="clear" w:color="auto" w:fill="FFFFFF"/>
            <w:vAlign w:val="center"/>
          </w:tcPr>
          <w:p w14:paraId="1373D374"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1</w:t>
            </w:r>
          </w:p>
        </w:tc>
        <w:tc>
          <w:tcPr>
            <w:tcW w:w="5352" w:type="dxa"/>
            <w:shd w:val="clear" w:color="auto" w:fill="FFFFFF"/>
            <w:vAlign w:val="center"/>
          </w:tcPr>
          <w:p w14:paraId="5D83C4A2" w14:textId="77777777" w:rsidR="00C40B57" w:rsidRPr="00740741" w:rsidRDefault="00C716B9" w:rsidP="00CA1896">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Bonus fund for the Executive Board</w:t>
            </w:r>
          </w:p>
        </w:tc>
        <w:tc>
          <w:tcPr>
            <w:tcW w:w="1763" w:type="dxa"/>
            <w:shd w:val="clear" w:color="auto" w:fill="FFFFFF"/>
            <w:vAlign w:val="center"/>
          </w:tcPr>
          <w:p w14:paraId="231B5D3C" w14:textId="77777777" w:rsidR="00C40B57" w:rsidRPr="00740741" w:rsidRDefault="00C40B57" w:rsidP="00A40010">
            <w:pPr>
              <w:spacing w:after="120" w:line="360" w:lineRule="auto"/>
              <w:ind w:right="51"/>
              <w:jc w:val="right"/>
              <w:rPr>
                <w:rFonts w:ascii="Arial" w:eastAsia="Arial" w:hAnsi="Arial" w:cs="Arial"/>
                <w:sz w:val="20"/>
                <w:szCs w:val="20"/>
              </w:rPr>
            </w:pPr>
          </w:p>
        </w:tc>
        <w:tc>
          <w:tcPr>
            <w:tcW w:w="1634" w:type="dxa"/>
            <w:shd w:val="clear" w:color="auto" w:fill="FFFFFF"/>
            <w:vAlign w:val="center"/>
          </w:tcPr>
          <w:p w14:paraId="6BD48D3A" w14:textId="77777777" w:rsidR="00C40B57" w:rsidRPr="00740741" w:rsidRDefault="00C40B57" w:rsidP="00CA1896">
            <w:pPr>
              <w:spacing w:after="120" w:line="360" w:lineRule="auto"/>
              <w:rPr>
                <w:rFonts w:ascii="Arial" w:eastAsia="Arial" w:hAnsi="Arial" w:cs="Arial"/>
                <w:sz w:val="20"/>
                <w:szCs w:val="20"/>
              </w:rPr>
            </w:pPr>
          </w:p>
        </w:tc>
      </w:tr>
      <w:tr w:rsidR="00C40B57" w:rsidRPr="00740741" w14:paraId="2BF96B50" w14:textId="77777777">
        <w:trPr>
          <w:trHeight w:val="20"/>
          <w:jc w:val="center"/>
        </w:trPr>
        <w:tc>
          <w:tcPr>
            <w:tcW w:w="601" w:type="dxa"/>
            <w:shd w:val="clear" w:color="auto" w:fill="FFFFFF"/>
            <w:vAlign w:val="center"/>
          </w:tcPr>
          <w:p w14:paraId="71BEE23F"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2</w:t>
            </w:r>
          </w:p>
        </w:tc>
        <w:tc>
          <w:tcPr>
            <w:tcW w:w="5352" w:type="dxa"/>
            <w:shd w:val="clear" w:color="auto" w:fill="FFFFFF"/>
            <w:vAlign w:val="center"/>
          </w:tcPr>
          <w:p w14:paraId="42FA7223" w14:textId="77777777" w:rsidR="00C40B57" w:rsidRPr="00740741" w:rsidRDefault="00C716B9" w:rsidP="00CA1896">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Investment and development fund</w:t>
            </w:r>
          </w:p>
        </w:tc>
        <w:tc>
          <w:tcPr>
            <w:tcW w:w="1763" w:type="dxa"/>
            <w:shd w:val="clear" w:color="auto" w:fill="FFFFFF"/>
            <w:vAlign w:val="center"/>
          </w:tcPr>
          <w:p w14:paraId="1CF98E3F" w14:textId="77777777" w:rsidR="00C40B57" w:rsidRPr="00740741" w:rsidRDefault="00C716B9" w:rsidP="00A40010">
            <w:pPr>
              <w:pBdr>
                <w:top w:val="nil"/>
                <w:left w:val="nil"/>
                <w:bottom w:val="nil"/>
                <w:right w:val="nil"/>
                <w:between w:val="nil"/>
              </w:pBdr>
              <w:spacing w:after="120" w:line="360" w:lineRule="auto"/>
              <w:ind w:right="51"/>
              <w:jc w:val="right"/>
              <w:rPr>
                <w:rFonts w:ascii="Arial" w:eastAsia="Arial" w:hAnsi="Arial" w:cs="Arial"/>
                <w:sz w:val="20"/>
                <w:szCs w:val="20"/>
              </w:rPr>
            </w:pPr>
            <w:r w:rsidRPr="00740741">
              <w:rPr>
                <w:rFonts w:ascii="Arial" w:hAnsi="Arial"/>
                <w:sz w:val="20"/>
                <w:szCs w:val="20"/>
              </w:rPr>
              <w:t>9,400,000,000</w:t>
            </w:r>
          </w:p>
        </w:tc>
        <w:tc>
          <w:tcPr>
            <w:tcW w:w="1634" w:type="dxa"/>
            <w:shd w:val="clear" w:color="auto" w:fill="FFFFFF"/>
            <w:vAlign w:val="center"/>
          </w:tcPr>
          <w:p w14:paraId="2CD2BF16" w14:textId="77777777" w:rsidR="00C40B57" w:rsidRPr="00740741" w:rsidRDefault="00C40B57" w:rsidP="00CA1896">
            <w:pPr>
              <w:spacing w:after="120" w:line="360" w:lineRule="auto"/>
              <w:rPr>
                <w:rFonts w:ascii="Arial" w:eastAsia="Arial" w:hAnsi="Arial" w:cs="Arial"/>
                <w:sz w:val="20"/>
                <w:szCs w:val="20"/>
              </w:rPr>
            </w:pPr>
          </w:p>
        </w:tc>
      </w:tr>
      <w:tr w:rsidR="00C40B57" w:rsidRPr="00740741" w14:paraId="7C3F150E" w14:textId="77777777">
        <w:trPr>
          <w:trHeight w:val="20"/>
          <w:jc w:val="center"/>
        </w:trPr>
        <w:tc>
          <w:tcPr>
            <w:tcW w:w="601" w:type="dxa"/>
            <w:shd w:val="clear" w:color="auto" w:fill="FFFFFF"/>
            <w:vAlign w:val="center"/>
          </w:tcPr>
          <w:p w14:paraId="1A969802"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3</w:t>
            </w:r>
          </w:p>
        </w:tc>
        <w:tc>
          <w:tcPr>
            <w:tcW w:w="5352" w:type="dxa"/>
            <w:shd w:val="clear" w:color="auto" w:fill="FFFFFF"/>
            <w:vAlign w:val="center"/>
          </w:tcPr>
          <w:p w14:paraId="1E524431" w14:textId="0DF21DEA" w:rsidR="00C40B57" w:rsidRPr="00740741" w:rsidRDefault="00286FC9" w:rsidP="00CA1896">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Bonus and</w:t>
            </w:r>
            <w:r w:rsidR="00C716B9" w:rsidRPr="00740741">
              <w:rPr>
                <w:rFonts w:ascii="Arial" w:hAnsi="Arial"/>
                <w:sz w:val="20"/>
                <w:szCs w:val="20"/>
              </w:rPr>
              <w:t xml:space="preserve"> welfare</w:t>
            </w:r>
            <w:r w:rsidR="00CD3731" w:rsidRPr="00740741">
              <w:rPr>
                <w:rFonts w:ascii="Arial" w:hAnsi="Arial"/>
                <w:sz w:val="20"/>
                <w:szCs w:val="20"/>
              </w:rPr>
              <w:t xml:space="preserve"> </w:t>
            </w:r>
            <w:r w:rsidR="00C716B9" w:rsidRPr="00740741">
              <w:rPr>
                <w:rFonts w:ascii="Arial" w:hAnsi="Arial"/>
                <w:sz w:val="20"/>
                <w:szCs w:val="20"/>
              </w:rPr>
              <w:t>fund</w:t>
            </w:r>
            <w:r w:rsidR="00CD3731" w:rsidRPr="00740741">
              <w:rPr>
                <w:rFonts w:ascii="Arial" w:hAnsi="Arial"/>
                <w:sz w:val="20"/>
                <w:szCs w:val="20"/>
              </w:rPr>
              <w:t>s</w:t>
            </w:r>
          </w:p>
        </w:tc>
        <w:tc>
          <w:tcPr>
            <w:tcW w:w="1763" w:type="dxa"/>
            <w:shd w:val="clear" w:color="auto" w:fill="FFFFFF"/>
            <w:vAlign w:val="center"/>
          </w:tcPr>
          <w:p w14:paraId="550EDFDF" w14:textId="77777777" w:rsidR="00C40B57" w:rsidRPr="00740741" w:rsidRDefault="00C716B9" w:rsidP="00A40010">
            <w:pPr>
              <w:pBdr>
                <w:top w:val="nil"/>
                <w:left w:val="nil"/>
                <w:bottom w:val="nil"/>
                <w:right w:val="nil"/>
                <w:between w:val="nil"/>
              </w:pBdr>
              <w:spacing w:after="120" w:line="360" w:lineRule="auto"/>
              <w:ind w:right="51"/>
              <w:jc w:val="right"/>
              <w:rPr>
                <w:rFonts w:ascii="Arial" w:eastAsia="Arial" w:hAnsi="Arial" w:cs="Arial"/>
                <w:sz w:val="20"/>
                <w:szCs w:val="20"/>
              </w:rPr>
            </w:pPr>
            <w:r w:rsidRPr="00740741">
              <w:rPr>
                <w:rFonts w:ascii="Arial" w:hAnsi="Arial"/>
                <w:sz w:val="20"/>
                <w:szCs w:val="20"/>
              </w:rPr>
              <w:t>41,970,000</w:t>
            </w:r>
          </w:p>
        </w:tc>
        <w:tc>
          <w:tcPr>
            <w:tcW w:w="1634" w:type="dxa"/>
            <w:shd w:val="clear" w:color="auto" w:fill="FFFFFF"/>
            <w:vAlign w:val="center"/>
          </w:tcPr>
          <w:p w14:paraId="36AF4035" w14:textId="77777777" w:rsidR="00C40B57" w:rsidRPr="00740741" w:rsidRDefault="00C716B9" w:rsidP="00A40010">
            <w:pPr>
              <w:pBdr>
                <w:top w:val="nil"/>
                <w:left w:val="nil"/>
                <w:bottom w:val="nil"/>
                <w:right w:val="nil"/>
                <w:between w:val="nil"/>
              </w:pBdr>
              <w:spacing w:after="120" w:line="360" w:lineRule="auto"/>
              <w:ind w:left="59" w:right="340"/>
              <w:rPr>
                <w:rFonts w:ascii="Arial" w:eastAsia="Arial" w:hAnsi="Arial" w:cs="Arial"/>
                <w:sz w:val="20"/>
                <w:szCs w:val="20"/>
              </w:rPr>
            </w:pPr>
            <w:r w:rsidRPr="00740741">
              <w:rPr>
                <w:rFonts w:ascii="Arial" w:hAnsi="Arial"/>
                <w:sz w:val="20"/>
                <w:szCs w:val="20"/>
              </w:rPr>
              <w:t>= I.2 x 5%</w:t>
            </w:r>
          </w:p>
        </w:tc>
      </w:tr>
      <w:tr w:rsidR="00C40B57" w:rsidRPr="00740741" w14:paraId="72A1ACCC" w14:textId="77777777">
        <w:trPr>
          <w:trHeight w:val="20"/>
          <w:jc w:val="center"/>
        </w:trPr>
        <w:tc>
          <w:tcPr>
            <w:tcW w:w="601" w:type="dxa"/>
            <w:shd w:val="clear" w:color="auto" w:fill="FFFFFF"/>
            <w:vAlign w:val="center"/>
          </w:tcPr>
          <w:p w14:paraId="1B17B831"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4</w:t>
            </w:r>
          </w:p>
        </w:tc>
        <w:tc>
          <w:tcPr>
            <w:tcW w:w="5352" w:type="dxa"/>
            <w:shd w:val="clear" w:color="auto" w:fill="FFFFFF"/>
            <w:vAlign w:val="center"/>
          </w:tcPr>
          <w:p w14:paraId="7801FE3F" w14:textId="77777777" w:rsidR="00C40B57" w:rsidRPr="00740741" w:rsidRDefault="00C716B9" w:rsidP="00CA1896">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Dividend payment</w:t>
            </w:r>
          </w:p>
        </w:tc>
        <w:tc>
          <w:tcPr>
            <w:tcW w:w="1763" w:type="dxa"/>
            <w:shd w:val="clear" w:color="auto" w:fill="FFFFFF"/>
            <w:vAlign w:val="center"/>
          </w:tcPr>
          <w:p w14:paraId="7F83BDE7" w14:textId="77777777" w:rsidR="00C40B57" w:rsidRPr="00740741" w:rsidRDefault="00C40B57" w:rsidP="00A40010">
            <w:pPr>
              <w:spacing w:after="120" w:line="360" w:lineRule="auto"/>
              <w:ind w:right="51"/>
              <w:jc w:val="right"/>
              <w:rPr>
                <w:rFonts w:ascii="Arial" w:eastAsia="Arial" w:hAnsi="Arial" w:cs="Arial"/>
                <w:sz w:val="20"/>
                <w:szCs w:val="20"/>
              </w:rPr>
            </w:pPr>
          </w:p>
        </w:tc>
        <w:tc>
          <w:tcPr>
            <w:tcW w:w="1634" w:type="dxa"/>
            <w:shd w:val="clear" w:color="auto" w:fill="FFFFFF"/>
            <w:vAlign w:val="center"/>
          </w:tcPr>
          <w:p w14:paraId="7C195368" w14:textId="77777777" w:rsidR="00C40B57" w:rsidRPr="00740741" w:rsidRDefault="00C40B57" w:rsidP="00A40010">
            <w:pPr>
              <w:spacing w:after="120" w:line="360" w:lineRule="auto"/>
              <w:ind w:left="59"/>
              <w:rPr>
                <w:rFonts w:ascii="Arial" w:eastAsia="Arial" w:hAnsi="Arial" w:cs="Arial"/>
                <w:sz w:val="20"/>
                <w:szCs w:val="20"/>
              </w:rPr>
            </w:pPr>
          </w:p>
        </w:tc>
      </w:tr>
      <w:tr w:rsidR="00C40B57" w:rsidRPr="00740741" w14:paraId="26CDAE15" w14:textId="77777777">
        <w:trPr>
          <w:trHeight w:val="20"/>
          <w:jc w:val="center"/>
        </w:trPr>
        <w:tc>
          <w:tcPr>
            <w:tcW w:w="601" w:type="dxa"/>
            <w:shd w:val="clear" w:color="auto" w:fill="FFFFFF"/>
            <w:vAlign w:val="center"/>
          </w:tcPr>
          <w:p w14:paraId="3F6EFD3A" w14:textId="77777777" w:rsidR="00C40B57" w:rsidRPr="00740741" w:rsidRDefault="00C716B9" w:rsidP="00C716B9">
            <w:pPr>
              <w:pBdr>
                <w:top w:val="nil"/>
                <w:left w:val="nil"/>
                <w:bottom w:val="nil"/>
                <w:right w:val="nil"/>
                <w:between w:val="nil"/>
              </w:pBdr>
              <w:spacing w:after="120" w:line="360" w:lineRule="auto"/>
              <w:jc w:val="center"/>
              <w:rPr>
                <w:rFonts w:ascii="Arial" w:eastAsia="Arial" w:hAnsi="Arial" w:cs="Arial"/>
                <w:sz w:val="20"/>
                <w:szCs w:val="20"/>
              </w:rPr>
            </w:pPr>
            <w:r w:rsidRPr="00740741">
              <w:rPr>
                <w:rFonts w:ascii="Arial" w:hAnsi="Arial"/>
                <w:sz w:val="20"/>
                <w:szCs w:val="20"/>
              </w:rPr>
              <w:t>III</w:t>
            </w:r>
          </w:p>
        </w:tc>
        <w:tc>
          <w:tcPr>
            <w:tcW w:w="5352" w:type="dxa"/>
            <w:shd w:val="clear" w:color="auto" w:fill="FFFFFF"/>
            <w:vAlign w:val="center"/>
          </w:tcPr>
          <w:p w14:paraId="1FF5824C" w14:textId="77777777" w:rsidR="00C40B57" w:rsidRPr="00740741" w:rsidRDefault="00C716B9" w:rsidP="00CA1896">
            <w:pPr>
              <w:pBdr>
                <w:top w:val="nil"/>
                <w:left w:val="nil"/>
                <w:bottom w:val="nil"/>
                <w:right w:val="nil"/>
                <w:between w:val="nil"/>
              </w:pBdr>
              <w:spacing w:after="120" w:line="360" w:lineRule="auto"/>
              <w:rPr>
                <w:rFonts w:ascii="Arial" w:eastAsia="Arial" w:hAnsi="Arial" w:cs="Arial"/>
                <w:sz w:val="20"/>
                <w:szCs w:val="20"/>
              </w:rPr>
            </w:pPr>
            <w:r w:rsidRPr="00740741">
              <w:rPr>
                <w:rFonts w:ascii="Arial" w:hAnsi="Arial"/>
                <w:sz w:val="20"/>
                <w:szCs w:val="20"/>
              </w:rPr>
              <w:t>Retained undistributed profit after tax</w:t>
            </w:r>
          </w:p>
        </w:tc>
        <w:tc>
          <w:tcPr>
            <w:tcW w:w="1763" w:type="dxa"/>
            <w:shd w:val="clear" w:color="auto" w:fill="FFFFFF"/>
            <w:vAlign w:val="center"/>
          </w:tcPr>
          <w:p w14:paraId="28946A7D" w14:textId="77777777" w:rsidR="00C40B57" w:rsidRPr="00740741" w:rsidRDefault="00C716B9" w:rsidP="00A40010">
            <w:pPr>
              <w:pBdr>
                <w:top w:val="nil"/>
                <w:left w:val="nil"/>
                <w:bottom w:val="nil"/>
                <w:right w:val="nil"/>
                <w:between w:val="nil"/>
              </w:pBdr>
              <w:spacing w:after="120" w:line="360" w:lineRule="auto"/>
              <w:ind w:right="51"/>
              <w:jc w:val="right"/>
              <w:rPr>
                <w:rFonts w:ascii="Arial" w:eastAsia="Arial" w:hAnsi="Arial" w:cs="Arial"/>
                <w:sz w:val="20"/>
                <w:szCs w:val="20"/>
              </w:rPr>
            </w:pPr>
            <w:r w:rsidRPr="00740741">
              <w:rPr>
                <w:rFonts w:ascii="Arial" w:hAnsi="Arial"/>
                <w:sz w:val="20"/>
                <w:szCs w:val="20"/>
              </w:rPr>
              <w:t>14,303,607</w:t>
            </w:r>
          </w:p>
        </w:tc>
        <w:tc>
          <w:tcPr>
            <w:tcW w:w="1634" w:type="dxa"/>
            <w:shd w:val="clear" w:color="auto" w:fill="FFFFFF"/>
            <w:vAlign w:val="center"/>
          </w:tcPr>
          <w:p w14:paraId="60C5FED2" w14:textId="77777777" w:rsidR="00C40B57" w:rsidRPr="00740741" w:rsidRDefault="00C716B9" w:rsidP="00A40010">
            <w:pPr>
              <w:pBdr>
                <w:top w:val="nil"/>
                <w:left w:val="nil"/>
                <w:bottom w:val="nil"/>
                <w:right w:val="nil"/>
                <w:between w:val="nil"/>
              </w:pBdr>
              <w:spacing w:after="120" w:line="360" w:lineRule="auto"/>
              <w:ind w:left="59" w:right="200"/>
              <w:rPr>
                <w:rFonts w:ascii="Arial" w:eastAsia="Arial" w:hAnsi="Arial" w:cs="Arial"/>
                <w:sz w:val="20"/>
                <w:szCs w:val="20"/>
              </w:rPr>
            </w:pPr>
            <w:r w:rsidRPr="00740741">
              <w:rPr>
                <w:rFonts w:ascii="Arial" w:hAnsi="Arial"/>
                <w:sz w:val="20"/>
                <w:szCs w:val="20"/>
              </w:rPr>
              <w:t xml:space="preserve">= I </w:t>
            </w:r>
            <w:r w:rsidR="004473C1" w:rsidRPr="00740741">
              <w:rPr>
                <w:rFonts w:ascii="Arial" w:hAnsi="Arial"/>
                <w:sz w:val="20"/>
                <w:szCs w:val="20"/>
              </w:rPr>
              <w:t>–</w:t>
            </w:r>
            <w:r w:rsidRPr="00740741">
              <w:rPr>
                <w:rFonts w:ascii="Arial" w:hAnsi="Arial"/>
                <w:sz w:val="20"/>
                <w:szCs w:val="20"/>
              </w:rPr>
              <w:t xml:space="preserve"> II</w:t>
            </w:r>
          </w:p>
        </w:tc>
      </w:tr>
    </w:tbl>
    <w:p w14:paraId="3B9C35C5" w14:textId="77777777"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Approve the Report on the remuneration result</w:t>
      </w:r>
      <w:r w:rsidR="00392CA2" w:rsidRPr="00740741">
        <w:rPr>
          <w:rFonts w:ascii="Arial" w:hAnsi="Arial"/>
          <w:sz w:val="20"/>
          <w:szCs w:val="20"/>
        </w:rPr>
        <w:t>s</w:t>
      </w:r>
      <w:r w:rsidRPr="00740741">
        <w:rPr>
          <w:rFonts w:ascii="Arial" w:hAnsi="Arial"/>
          <w:sz w:val="20"/>
          <w:szCs w:val="20"/>
        </w:rPr>
        <w:t xml:space="preserve"> of the Board of Directors and the Supervisory Board in 2020 and the remuneration plan of the Board of Directors and the Supervisory Board in 2021</w:t>
      </w:r>
      <w:r w:rsidR="004343CA" w:rsidRPr="00740741">
        <w:rPr>
          <w:rFonts w:ascii="Arial" w:hAnsi="Arial"/>
          <w:sz w:val="20"/>
          <w:szCs w:val="20"/>
        </w:rPr>
        <w:t>.</w:t>
      </w:r>
    </w:p>
    <w:p w14:paraId="72C78DBF" w14:textId="77777777"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List of independent audit companies t</w:t>
      </w:r>
      <w:r w:rsidR="004343CA" w:rsidRPr="00740741">
        <w:rPr>
          <w:rFonts w:ascii="Arial" w:hAnsi="Arial"/>
          <w:sz w:val="20"/>
          <w:szCs w:val="20"/>
        </w:rPr>
        <w:t>o audit the Financial Statement</w:t>
      </w:r>
      <w:r w:rsidRPr="00740741">
        <w:rPr>
          <w:rFonts w:ascii="Arial" w:hAnsi="Arial"/>
          <w:sz w:val="20"/>
          <w:szCs w:val="20"/>
        </w:rPr>
        <w:t xml:space="preserve"> 2021 of the Company and the authorization for the Board of Directors to decide the selection.</w:t>
      </w:r>
    </w:p>
    <w:p w14:paraId="6C95C7A7" w14:textId="77777777"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Change of head office address; change, supplement business lines and amend the Company's Charter.</w:t>
      </w:r>
    </w:p>
    <w:p w14:paraId="491947D4" w14:textId="77777777" w:rsidR="00C40B57" w:rsidRPr="00740741" w:rsidRDefault="004343CA"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T</w:t>
      </w:r>
      <w:r w:rsidR="003C12C2" w:rsidRPr="00740741">
        <w:rPr>
          <w:rFonts w:ascii="Arial" w:hAnsi="Arial"/>
          <w:sz w:val="20"/>
          <w:szCs w:val="20"/>
        </w:rPr>
        <w:t xml:space="preserve">he Board of Directors </w:t>
      </w:r>
      <w:r w:rsidRPr="00740741">
        <w:rPr>
          <w:rFonts w:ascii="Arial" w:hAnsi="Arial"/>
          <w:sz w:val="20"/>
          <w:szCs w:val="20"/>
        </w:rPr>
        <w:t xml:space="preserve">is authorized </w:t>
      </w:r>
      <w:r w:rsidR="003C12C2" w:rsidRPr="00740741">
        <w:rPr>
          <w:rFonts w:ascii="Arial" w:hAnsi="Arial"/>
          <w:sz w:val="20"/>
          <w:szCs w:val="20"/>
        </w:rPr>
        <w:t>to</w:t>
      </w:r>
      <w:r w:rsidR="00C716B9" w:rsidRPr="00740741">
        <w:rPr>
          <w:rFonts w:ascii="Arial" w:hAnsi="Arial"/>
          <w:sz w:val="20"/>
          <w:szCs w:val="20"/>
        </w:rPr>
        <w:t xml:space="preserve"> approve contracts, transactions under the authority of the General Meeting of Shareholders related to production, business, service provision and trade activities </w:t>
      </w:r>
      <w:r w:rsidR="00C716B9" w:rsidRPr="00740741">
        <w:rPr>
          <w:rFonts w:ascii="Arial" w:hAnsi="Arial"/>
          <w:sz w:val="20"/>
          <w:szCs w:val="20"/>
        </w:rPr>
        <w:lastRenderedPageBreak/>
        <w:t xml:space="preserve">between the Company and </w:t>
      </w:r>
      <w:r w:rsidR="00B23AB9" w:rsidRPr="00740741">
        <w:rPr>
          <w:rFonts w:ascii="Arial" w:hAnsi="Arial"/>
          <w:sz w:val="20"/>
          <w:szCs w:val="20"/>
        </w:rPr>
        <w:t>stakeholders</w:t>
      </w:r>
      <w:r w:rsidR="00C716B9" w:rsidRPr="00740741">
        <w:rPr>
          <w:rFonts w:ascii="Arial" w:hAnsi="Arial"/>
          <w:sz w:val="20"/>
          <w:szCs w:val="20"/>
        </w:rPr>
        <w:t xml:space="preserve"> which are </w:t>
      </w:r>
      <w:proofErr w:type="spellStart"/>
      <w:r w:rsidR="00C716B9" w:rsidRPr="00740741">
        <w:rPr>
          <w:rFonts w:ascii="Arial" w:hAnsi="Arial"/>
          <w:sz w:val="20"/>
          <w:szCs w:val="20"/>
        </w:rPr>
        <w:t>PetroVietnam</w:t>
      </w:r>
      <w:proofErr w:type="spellEnd"/>
      <w:r w:rsidR="00C716B9" w:rsidRPr="00740741">
        <w:rPr>
          <w:rFonts w:ascii="Arial" w:hAnsi="Arial"/>
          <w:sz w:val="20"/>
          <w:szCs w:val="20"/>
        </w:rPr>
        <w:t xml:space="preserve"> Transportation Corporation and/or member units of </w:t>
      </w:r>
      <w:proofErr w:type="spellStart"/>
      <w:r w:rsidR="00C716B9" w:rsidRPr="00740741">
        <w:rPr>
          <w:rFonts w:ascii="Arial" w:hAnsi="Arial"/>
          <w:sz w:val="20"/>
          <w:szCs w:val="20"/>
        </w:rPr>
        <w:t>PetroVietnam</w:t>
      </w:r>
      <w:proofErr w:type="spellEnd"/>
      <w:r w:rsidR="00C716B9" w:rsidRPr="00740741">
        <w:rPr>
          <w:rFonts w:ascii="Arial" w:hAnsi="Arial"/>
          <w:sz w:val="20"/>
          <w:szCs w:val="20"/>
        </w:rPr>
        <w:t xml:space="preserve"> Transportation Corporation</w:t>
      </w:r>
      <w:r w:rsidR="00960100" w:rsidRPr="00740741">
        <w:rPr>
          <w:rFonts w:ascii="Arial" w:hAnsi="Arial"/>
          <w:sz w:val="20"/>
          <w:szCs w:val="20"/>
        </w:rPr>
        <w:t>.</w:t>
      </w:r>
    </w:p>
    <w:p w14:paraId="69E57B16" w14:textId="77777777"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Charter of Indochina Petroleum Transportation Joint Stock Company</w:t>
      </w:r>
    </w:p>
    <w:p w14:paraId="23AFEA7D" w14:textId="77777777"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The Internal regulations on corporate governance of Indochina Petroleum Transportation Joint Stock Company</w:t>
      </w:r>
    </w:p>
    <w:p w14:paraId="2EC37BAD" w14:textId="77777777"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The Operational regulation</w:t>
      </w:r>
      <w:r w:rsidR="00912BC4" w:rsidRPr="00740741">
        <w:rPr>
          <w:rFonts w:ascii="Arial" w:hAnsi="Arial"/>
          <w:sz w:val="20"/>
          <w:szCs w:val="20"/>
        </w:rPr>
        <w:t>s</w:t>
      </w:r>
      <w:r w:rsidRPr="00740741">
        <w:rPr>
          <w:rFonts w:ascii="Arial" w:hAnsi="Arial"/>
          <w:sz w:val="20"/>
          <w:szCs w:val="20"/>
        </w:rPr>
        <w:t xml:space="preserve"> of the Board of Directors of Indochina Petroleum Transportation Joint Stock Company</w:t>
      </w:r>
    </w:p>
    <w:p w14:paraId="1C6C7384" w14:textId="77777777"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The Operational regulation</w:t>
      </w:r>
      <w:r w:rsidR="000D4216" w:rsidRPr="00740741">
        <w:rPr>
          <w:rFonts w:ascii="Arial" w:hAnsi="Arial"/>
          <w:sz w:val="20"/>
          <w:szCs w:val="20"/>
        </w:rPr>
        <w:t>s</w:t>
      </w:r>
      <w:r w:rsidRPr="00740741">
        <w:rPr>
          <w:rFonts w:ascii="Arial" w:hAnsi="Arial"/>
          <w:sz w:val="20"/>
          <w:szCs w:val="20"/>
        </w:rPr>
        <w:t xml:space="preserve"> of the Supervisory Board of Indochina Petroleum Transportation Joint Stock Company</w:t>
      </w:r>
    </w:p>
    <w:p w14:paraId="0798565D" w14:textId="77777777" w:rsidR="00C40B57" w:rsidRPr="00740741" w:rsidRDefault="006C0C40"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The dismiss and elect</w:t>
      </w:r>
      <w:r w:rsidR="00C716B9" w:rsidRPr="00740741">
        <w:rPr>
          <w:rFonts w:ascii="Arial" w:hAnsi="Arial"/>
          <w:sz w:val="20"/>
          <w:szCs w:val="20"/>
        </w:rPr>
        <w:t xml:space="preserve"> additional members of the Board of Directors:</w:t>
      </w:r>
    </w:p>
    <w:p w14:paraId="7A35E53B" w14:textId="77777777" w:rsidR="00C40B57" w:rsidRPr="00740741" w:rsidRDefault="00C716B9" w:rsidP="00C716B9">
      <w:pPr>
        <w:widowControl/>
        <w:numPr>
          <w:ilvl w:val="1"/>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Dismiss members of the Board of Directors:</w:t>
      </w:r>
    </w:p>
    <w:p w14:paraId="00A7F229" w14:textId="77777777" w:rsidR="00C40B57" w:rsidRPr="00740741" w:rsidRDefault="00C716B9" w:rsidP="00C716B9">
      <w:pPr>
        <w:widowControl/>
        <w:numPr>
          <w:ilvl w:val="0"/>
          <w:numId w:val="3"/>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Mr. Pham Anh Tuan due to his resignation letter;</w:t>
      </w:r>
    </w:p>
    <w:p w14:paraId="4601CDC2" w14:textId="77777777" w:rsidR="00C40B57" w:rsidRPr="00740741" w:rsidRDefault="00C716B9" w:rsidP="00C716B9">
      <w:pPr>
        <w:widowControl/>
        <w:numPr>
          <w:ilvl w:val="0"/>
          <w:numId w:val="3"/>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Mr. Nguyen Quang </w:t>
      </w:r>
      <w:proofErr w:type="spellStart"/>
      <w:r w:rsidRPr="00740741">
        <w:rPr>
          <w:rFonts w:ascii="Arial" w:hAnsi="Arial"/>
          <w:sz w:val="20"/>
          <w:szCs w:val="20"/>
        </w:rPr>
        <w:t>Huy</w:t>
      </w:r>
      <w:proofErr w:type="spellEnd"/>
      <w:r w:rsidRPr="00740741">
        <w:rPr>
          <w:rFonts w:ascii="Arial" w:hAnsi="Arial"/>
          <w:sz w:val="20"/>
          <w:szCs w:val="20"/>
        </w:rPr>
        <w:t xml:space="preserve"> due to his resignation letter;</w:t>
      </w:r>
    </w:p>
    <w:p w14:paraId="4E3F7487" w14:textId="77777777" w:rsidR="00C40B57" w:rsidRPr="00740741" w:rsidRDefault="00C716B9" w:rsidP="00C716B9">
      <w:pPr>
        <w:widowControl/>
        <w:numPr>
          <w:ilvl w:val="0"/>
          <w:numId w:val="3"/>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Mr. Hoang Trung Hung due to his resignation letter;</w:t>
      </w:r>
    </w:p>
    <w:p w14:paraId="7366374E" w14:textId="77777777" w:rsidR="00C40B57" w:rsidRPr="00740741" w:rsidRDefault="00C716B9" w:rsidP="00C716B9">
      <w:pPr>
        <w:widowControl/>
        <w:numPr>
          <w:ilvl w:val="0"/>
          <w:numId w:val="3"/>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Mr. Nguyen </w:t>
      </w:r>
      <w:proofErr w:type="spellStart"/>
      <w:r w:rsidRPr="00740741">
        <w:rPr>
          <w:rFonts w:ascii="Arial" w:hAnsi="Arial"/>
          <w:sz w:val="20"/>
          <w:szCs w:val="20"/>
        </w:rPr>
        <w:t>Huy</w:t>
      </w:r>
      <w:proofErr w:type="spellEnd"/>
      <w:r w:rsidRPr="00740741">
        <w:rPr>
          <w:rFonts w:ascii="Arial" w:hAnsi="Arial"/>
          <w:sz w:val="20"/>
          <w:szCs w:val="20"/>
        </w:rPr>
        <w:t xml:space="preserve"> Khanh due to his resignation letter;</w:t>
      </w:r>
    </w:p>
    <w:p w14:paraId="3364AA7E" w14:textId="77777777" w:rsidR="00C40B57" w:rsidRPr="00740741" w:rsidRDefault="00C716B9" w:rsidP="00C716B9">
      <w:pPr>
        <w:widowControl/>
        <w:numPr>
          <w:ilvl w:val="1"/>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Elect members of the Board of Directors for the term of 2021 - 2026:</w:t>
      </w:r>
    </w:p>
    <w:p w14:paraId="37ED60B1" w14:textId="77777777" w:rsidR="00C40B57" w:rsidRPr="00740741" w:rsidRDefault="00C716B9" w:rsidP="00C716B9">
      <w:pPr>
        <w:widowControl/>
        <w:numPr>
          <w:ilvl w:val="0"/>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Mr. Le Manh Tuan;</w:t>
      </w:r>
    </w:p>
    <w:p w14:paraId="28A333A1" w14:textId="77777777" w:rsidR="00C40B57" w:rsidRPr="00740741" w:rsidRDefault="00C716B9" w:rsidP="00C716B9">
      <w:pPr>
        <w:widowControl/>
        <w:numPr>
          <w:ilvl w:val="0"/>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Mr. Le Thanh Son;</w:t>
      </w:r>
    </w:p>
    <w:p w14:paraId="18006C5A" w14:textId="77777777" w:rsidR="00C40B57" w:rsidRPr="00740741" w:rsidRDefault="00C716B9" w:rsidP="00C716B9">
      <w:pPr>
        <w:widowControl/>
        <w:numPr>
          <w:ilvl w:val="0"/>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Mr. Tran Hai Dang;</w:t>
      </w:r>
    </w:p>
    <w:p w14:paraId="63496966" w14:textId="77777777" w:rsidR="00C40B57" w:rsidRPr="00740741" w:rsidRDefault="00C716B9" w:rsidP="00C716B9">
      <w:pPr>
        <w:widowControl/>
        <w:numPr>
          <w:ilvl w:val="0"/>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Mr. </w:t>
      </w:r>
      <w:proofErr w:type="spellStart"/>
      <w:r w:rsidRPr="00740741">
        <w:rPr>
          <w:rFonts w:ascii="Arial" w:hAnsi="Arial"/>
          <w:sz w:val="20"/>
          <w:szCs w:val="20"/>
        </w:rPr>
        <w:t>Luu</w:t>
      </w:r>
      <w:proofErr w:type="spellEnd"/>
      <w:r w:rsidRPr="00740741">
        <w:rPr>
          <w:rFonts w:ascii="Arial" w:hAnsi="Arial"/>
          <w:sz w:val="20"/>
          <w:szCs w:val="20"/>
        </w:rPr>
        <w:t xml:space="preserve"> Manh Thang.</w:t>
      </w:r>
    </w:p>
    <w:p w14:paraId="125D4A72" w14:textId="77777777" w:rsidR="00C40B57" w:rsidRPr="00740741" w:rsidRDefault="00C716B9" w:rsidP="00C716B9">
      <w:pPr>
        <w:widowControl/>
        <w:numPr>
          <w:ilvl w:val="0"/>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Dismiss and elect additional members of the </w:t>
      </w:r>
      <w:r w:rsidR="008D7425" w:rsidRPr="00740741">
        <w:rPr>
          <w:rFonts w:ascii="Arial" w:hAnsi="Arial"/>
          <w:sz w:val="20"/>
          <w:szCs w:val="20"/>
        </w:rPr>
        <w:t>Supervisory</w:t>
      </w:r>
      <w:r w:rsidR="009B4AF3" w:rsidRPr="00740741">
        <w:rPr>
          <w:rFonts w:ascii="Arial" w:hAnsi="Arial"/>
          <w:sz w:val="20"/>
          <w:szCs w:val="20"/>
        </w:rPr>
        <w:t xml:space="preserve"> Board</w:t>
      </w:r>
      <w:r w:rsidRPr="00740741">
        <w:rPr>
          <w:rFonts w:ascii="Arial" w:hAnsi="Arial"/>
          <w:sz w:val="20"/>
          <w:szCs w:val="20"/>
        </w:rPr>
        <w:t xml:space="preserve"> for the term of 2021 - 2026;</w:t>
      </w:r>
    </w:p>
    <w:p w14:paraId="1FFDA978" w14:textId="77777777" w:rsidR="00C40B57" w:rsidRPr="00740741" w:rsidRDefault="00E318D7" w:rsidP="00C716B9">
      <w:pPr>
        <w:widowControl/>
        <w:numPr>
          <w:ilvl w:val="1"/>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 xml:space="preserve">Dismiss member </w:t>
      </w:r>
      <w:r w:rsidR="00C716B9" w:rsidRPr="00740741">
        <w:rPr>
          <w:rFonts w:ascii="Arial" w:hAnsi="Arial"/>
          <w:sz w:val="20"/>
          <w:szCs w:val="20"/>
        </w:rPr>
        <w:t>of the Supervisory Board;</w:t>
      </w:r>
    </w:p>
    <w:p w14:paraId="615B20F5" w14:textId="77777777" w:rsidR="00C40B57" w:rsidRPr="00740741" w:rsidRDefault="00C716B9" w:rsidP="00C716B9">
      <w:pPr>
        <w:widowControl/>
        <w:numPr>
          <w:ilvl w:val="0"/>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Mr. Nguyen The Dan due to his resignation letter.</w:t>
      </w:r>
    </w:p>
    <w:p w14:paraId="000C31F9" w14:textId="77777777" w:rsidR="00C40B57" w:rsidRPr="00740741" w:rsidRDefault="008E4CED" w:rsidP="00C716B9">
      <w:pPr>
        <w:widowControl/>
        <w:numPr>
          <w:ilvl w:val="1"/>
          <w:numId w:val="6"/>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Elect additional member</w:t>
      </w:r>
      <w:r w:rsidR="00C716B9" w:rsidRPr="00740741">
        <w:rPr>
          <w:rFonts w:ascii="Arial" w:hAnsi="Arial"/>
          <w:sz w:val="20"/>
          <w:szCs w:val="20"/>
        </w:rPr>
        <w:t xml:space="preserve"> of the Supervisory Board for the term of 2021 - 2026.</w:t>
      </w:r>
    </w:p>
    <w:p w14:paraId="6EE5BE33" w14:textId="77777777" w:rsidR="00C40B57" w:rsidRPr="00740741" w:rsidRDefault="00C716B9" w:rsidP="00C716B9">
      <w:pPr>
        <w:widowControl/>
        <w:numPr>
          <w:ilvl w:val="0"/>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sz w:val="20"/>
          <w:szCs w:val="20"/>
        </w:rPr>
      </w:pPr>
      <w:r w:rsidRPr="00740741">
        <w:rPr>
          <w:rFonts w:ascii="Arial" w:hAnsi="Arial"/>
          <w:sz w:val="20"/>
          <w:szCs w:val="20"/>
        </w:rPr>
        <w:t>Mr.  Pham Van Hung</w:t>
      </w:r>
      <w:r w:rsidR="00C6215A" w:rsidRPr="00740741">
        <w:rPr>
          <w:rFonts w:ascii="Arial" w:hAnsi="Arial"/>
          <w:sz w:val="20"/>
          <w:szCs w:val="20"/>
        </w:rPr>
        <w:t>.</w:t>
      </w:r>
    </w:p>
    <w:p w14:paraId="7EBE92D3" w14:textId="77777777" w:rsidR="00C40B57" w:rsidRPr="00740741" w:rsidRDefault="00C716B9" w:rsidP="00C716B9">
      <w:pPr>
        <w:widowControl/>
        <w:tabs>
          <w:tab w:val="left" w:pos="567"/>
        </w:tabs>
        <w:spacing w:after="120" w:line="360" w:lineRule="auto"/>
        <w:jc w:val="both"/>
        <w:rPr>
          <w:rFonts w:ascii="Arial" w:eastAsia="Arial" w:hAnsi="Arial" w:cs="Arial"/>
          <w:sz w:val="20"/>
          <w:szCs w:val="20"/>
        </w:rPr>
      </w:pPr>
      <w:r w:rsidRPr="00740741">
        <w:rPr>
          <w:rFonts w:ascii="Arial" w:hAnsi="Arial"/>
          <w:sz w:val="20"/>
          <w:szCs w:val="20"/>
        </w:rPr>
        <w:t>‎‎Article 2. The Annual General Meeting of Shareholders 2021 of Indochina Petroleum Transportation Joint Stock Company assigns the Board of Directors to review and sign the Company's Charter, the Internal Regulation on corporate governance and the Operational regulation</w:t>
      </w:r>
      <w:r w:rsidR="0041317E" w:rsidRPr="00740741">
        <w:rPr>
          <w:rFonts w:ascii="Arial" w:hAnsi="Arial"/>
          <w:sz w:val="20"/>
          <w:szCs w:val="20"/>
        </w:rPr>
        <w:t>s</w:t>
      </w:r>
      <w:r w:rsidRPr="00740741">
        <w:rPr>
          <w:rFonts w:ascii="Arial" w:hAnsi="Arial"/>
          <w:sz w:val="20"/>
          <w:szCs w:val="20"/>
        </w:rPr>
        <w:t xml:space="preserve"> of the Board of Directors of the Company. Carry out the procedures to change the Company's Business Registration Certificate in accordance with the Company's Charter approved by the General Meeting of Shareholders.</w:t>
      </w:r>
    </w:p>
    <w:p w14:paraId="7013B0A5" w14:textId="77777777" w:rsidR="00C40B57" w:rsidRPr="00740741" w:rsidRDefault="00C716B9" w:rsidP="00C716B9">
      <w:pPr>
        <w:widowControl/>
        <w:tabs>
          <w:tab w:val="left" w:pos="567"/>
        </w:tabs>
        <w:spacing w:after="120" w:line="360" w:lineRule="auto"/>
        <w:jc w:val="both"/>
        <w:rPr>
          <w:rFonts w:ascii="Arial" w:eastAsia="Arial" w:hAnsi="Arial" w:cs="Arial"/>
          <w:sz w:val="20"/>
          <w:szCs w:val="20"/>
        </w:rPr>
      </w:pPr>
      <w:r w:rsidRPr="00740741">
        <w:rPr>
          <w:rFonts w:ascii="Arial" w:hAnsi="Arial"/>
          <w:sz w:val="20"/>
          <w:szCs w:val="20"/>
        </w:rPr>
        <w:lastRenderedPageBreak/>
        <w:t>‎‎Article 3. The Annual General Meeting of Shareholders 2021 of Indochina Petroleum Transportation Joint Stock Company assigns the Supervisory Board to promulgate the Operational regulation</w:t>
      </w:r>
      <w:r w:rsidR="00FB307D" w:rsidRPr="00740741">
        <w:rPr>
          <w:rFonts w:ascii="Arial" w:hAnsi="Arial"/>
          <w:sz w:val="20"/>
          <w:szCs w:val="20"/>
        </w:rPr>
        <w:t>s</w:t>
      </w:r>
      <w:r w:rsidRPr="00740741">
        <w:rPr>
          <w:rFonts w:ascii="Arial" w:hAnsi="Arial"/>
          <w:sz w:val="20"/>
          <w:szCs w:val="20"/>
        </w:rPr>
        <w:t xml:space="preserve"> of the Supervisory Board of the Company approved by the General Meeting of Shareholders.</w:t>
      </w:r>
    </w:p>
    <w:p w14:paraId="3E6C9DDB" w14:textId="77777777" w:rsidR="00C40B57" w:rsidRPr="00740741" w:rsidRDefault="00C716B9" w:rsidP="00C716B9">
      <w:pPr>
        <w:widowControl/>
        <w:tabs>
          <w:tab w:val="left" w:pos="567"/>
        </w:tabs>
        <w:spacing w:after="120" w:line="360" w:lineRule="auto"/>
        <w:jc w:val="both"/>
        <w:rPr>
          <w:rFonts w:ascii="Arial" w:eastAsia="Arial" w:hAnsi="Arial" w:cs="Arial"/>
          <w:sz w:val="20"/>
          <w:szCs w:val="20"/>
        </w:rPr>
      </w:pPr>
      <w:r w:rsidRPr="00740741">
        <w:rPr>
          <w:rFonts w:ascii="Arial" w:hAnsi="Arial"/>
          <w:sz w:val="20"/>
          <w:szCs w:val="20"/>
        </w:rPr>
        <w:t>‎‎Article 4. The Board of Directors is responsible for the direction and implementation of the contents approved by the Annual General Meeting of Shareholders 2021 in accordance with the provision of law and the Company’s Charter.</w:t>
      </w:r>
    </w:p>
    <w:p w14:paraId="67F0B465" w14:textId="77777777" w:rsidR="00C40B57" w:rsidRDefault="00C716B9" w:rsidP="00C716B9">
      <w:pPr>
        <w:spacing w:after="120" w:line="360" w:lineRule="auto"/>
        <w:rPr>
          <w:rFonts w:ascii="Arial" w:eastAsia="Arial" w:hAnsi="Arial" w:cs="Arial"/>
          <w:sz w:val="20"/>
          <w:szCs w:val="20"/>
        </w:rPr>
      </w:pPr>
      <w:r w:rsidRPr="00740741">
        <w:rPr>
          <w:rFonts w:ascii="Arial" w:hAnsi="Arial"/>
          <w:sz w:val="20"/>
          <w:szCs w:val="20"/>
        </w:rPr>
        <w:t xml:space="preserve">‎‎Article 5. This General Mandate </w:t>
      </w:r>
      <w:r w:rsidR="00381A9F" w:rsidRPr="00740741">
        <w:rPr>
          <w:rFonts w:ascii="Arial" w:hAnsi="Arial"/>
          <w:sz w:val="20"/>
          <w:szCs w:val="20"/>
        </w:rPr>
        <w:t>is</w:t>
      </w:r>
      <w:r w:rsidRPr="00740741">
        <w:rPr>
          <w:rFonts w:ascii="Arial" w:hAnsi="Arial"/>
          <w:sz w:val="20"/>
          <w:szCs w:val="20"/>
        </w:rPr>
        <w:t xml:space="preserve"> approved by the Annual General Meeting of Shareholders 2021 of Indochina Petroleum Transportation Joint Stock Company and takes effect from th</w:t>
      </w:r>
      <w:r w:rsidR="00D20B2E" w:rsidRPr="00740741">
        <w:rPr>
          <w:rFonts w:ascii="Arial" w:hAnsi="Arial"/>
          <w:sz w:val="20"/>
          <w:szCs w:val="20"/>
        </w:rPr>
        <w:t>e</w:t>
      </w:r>
      <w:r w:rsidRPr="00740741">
        <w:rPr>
          <w:rFonts w:ascii="Arial" w:hAnsi="Arial"/>
          <w:sz w:val="20"/>
          <w:szCs w:val="20"/>
        </w:rPr>
        <w:t xml:space="preserve"> date of its signing.</w:t>
      </w:r>
    </w:p>
    <w:sectPr w:rsidR="00C40B57">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1992"/>
    <w:multiLevelType w:val="multilevel"/>
    <w:tmpl w:val="32D6B940"/>
    <w:lvl w:ilvl="0">
      <w:start w:val="1"/>
      <w:numFmt w:val="bullet"/>
      <w:suff w:val="space"/>
      <w:lvlText w:val="-"/>
      <w:lvlJc w:val="left"/>
      <w:pPr>
        <w:ind w:left="720" w:hanging="360"/>
      </w:pPr>
      <w:rPr>
        <w:rFonts w:ascii="Arial" w:hAnsi="Arial" w:hint="default"/>
        <w:color w:val="00000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 w15:restartNumberingAfterBreak="0">
    <w:nsid w:val="158419D5"/>
    <w:multiLevelType w:val="multilevel"/>
    <w:tmpl w:val="0E54FDC2"/>
    <w:lvl w:ilvl="0">
      <w:start w:val="1"/>
      <w:numFmt w:val="bullet"/>
      <w:suff w:val="space"/>
      <w:lvlText w:val="+"/>
      <w:lvlJc w:val="left"/>
      <w:pPr>
        <w:ind w:left="720" w:hanging="360"/>
      </w:pPr>
      <w:rPr>
        <w:rFonts w:ascii="Arial" w:hAnsi="Arial" w:hint="default"/>
        <w:sz w:val="20"/>
        <w:szCs w:val="2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 w15:restartNumberingAfterBreak="0">
    <w:nsid w:val="2D65246F"/>
    <w:multiLevelType w:val="hybridMultilevel"/>
    <w:tmpl w:val="DB5C1C80"/>
    <w:lvl w:ilvl="0" w:tplc="A328B73C">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068154C"/>
    <w:multiLevelType w:val="multilevel"/>
    <w:tmpl w:val="107A756A"/>
    <w:lvl w:ilvl="0">
      <w:start w:val="1"/>
      <w:numFmt w:val="bullet"/>
      <w:suff w:val="space"/>
      <w:lvlText w:val="+"/>
      <w:lvlJc w:val="left"/>
      <w:pPr>
        <w:ind w:left="720" w:hanging="360"/>
      </w:pPr>
      <w:rPr>
        <w:rFonts w:ascii="Arial" w:hAnsi="Arial" w:hint="default"/>
        <w:sz w:val="20"/>
        <w:szCs w:val="2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 w15:restartNumberingAfterBreak="0">
    <w:nsid w:val="43500E93"/>
    <w:multiLevelType w:val="multilevel"/>
    <w:tmpl w:val="33B03A9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7797456"/>
    <w:multiLevelType w:val="multilevel"/>
    <w:tmpl w:val="0DDE3F7A"/>
    <w:lvl w:ilvl="0">
      <w:start w:val="4"/>
      <w:numFmt w:val="bullet"/>
      <w:suff w:val="space"/>
      <w:lvlText w:val="-"/>
      <w:lvlJc w:val="left"/>
      <w:pPr>
        <w:ind w:left="720" w:hanging="360"/>
      </w:pPr>
      <w:rPr>
        <w:rFonts w:ascii="Arial" w:hAnsi="Arial" w:hint="default"/>
        <w:color w:val="00000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 w15:restartNumberingAfterBreak="0">
    <w:nsid w:val="59543298"/>
    <w:multiLevelType w:val="multilevel"/>
    <w:tmpl w:val="2D0CAA1C"/>
    <w:lvl w:ilvl="0">
      <w:start w:val="1"/>
      <w:numFmt w:val="decimal"/>
      <w:suff w:val="space"/>
      <w:lvlText w:val="%1."/>
      <w:lvlJc w:val="left"/>
      <w:pPr>
        <w:ind w:left="945" w:hanging="585"/>
      </w:pPr>
      <w:rPr>
        <w:rFonts w:hint="default"/>
        <w:color w:val="000000"/>
      </w:rPr>
    </w:lvl>
    <w:lvl w:ilvl="1">
      <w:start w:val="1"/>
      <w:numFmt w:val="decimal"/>
      <w:lvlText w:val="%1.%2."/>
      <w:lvlJc w:val="left"/>
      <w:pPr>
        <w:ind w:left="795" w:hanging="435"/>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080" w:hanging="720"/>
      </w:pPr>
      <w:rPr>
        <w:rFonts w:hint="default"/>
        <w:color w:val="000000"/>
      </w:rPr>
    </w:lvl>
    <w:lvl w:ilvl="4">
      <w:start w:val="1"/>
      <w:numFmt w:val="decimal"/>
      <w:lvlText w:val="%1.%2.%3.%4.%5."/>
      <w:lvlJc w:val="left"/>
      <w:pPr>
        <w:ind w:left="1440" w:hanging="1080"/>
      </w:pPr>
      <w:rPr>
        <w:rFonts w:hint="default"/>
        <w:color w:val="000000"/>
      </w:rPr>
    </w:lvl>
    <w:lvl w:ilvl="5">
      <w:start w:val="1"/>
      <w:numFmt w:val="decimal"/>
      <w:lvlText w:val="%1.%2.%3.%4.%5.%6."/>
      <w:lvlJc w:val="left"/>
      <w:pPr>
        <w:ind w:left="144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00" w:hanging="1440"/>
      </w:pPr>
      <w:rPr>
        <w:rFonts w:hint="default"/>
        <w:color w:val="000000"/>
      </w:rPr>
    </w:lvl>
    <w:lvl w:ilvl="8">
      <w:start w:val="1"/>
      <w:numFmt w:val="decimal"/>
      <w:lvlText w:val="%1.%2.%3.%4.%5.%6.%7.%8.%9."/>
      <w:lvlJc w:val="left"/>
      <w:pPr>
        <w:ind w:left="2160" w:hanging="1800"/>
      </w:pPr>
      <w:rPr>
        <w:rFonts w:hint="default"/>
        <w:color w:val="000000"/>
      </w:rPr>
    </w:lvl>
  </w:abstractNum>
  <w:abstractNum w:abstractNumId="7" w15:restartNumberingAfterBreak="0">
    <w:nsid w:val="64F83C48"/>
    <w:multiLevelType w:val="multilevel"/>
    <w:tmpl w:val="87F2D542"/>
    <w:lvl w:ilvl="0">
      <w:start w:val="4"/>
      <w:numFmt w:val="bullet"/>
      <w:suff w:val="space"/>
      <w:lvlText w:val="-"/>
      <w:lvlJc w:val="left"/>
      <w:pPr>
        <w:ind w:left="720" w:hanging="360"/>
      </w:pPr>
      <w:rPr>
        <w:rFonts w:ascii="Arial" w:hAnsi="Arial" w:hint="default"/>
        <w:color w:val="00000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abstractNumId w:val="3"/>
  </w:num>
  <w:num w:numId="2">
    <w:abstractNumId w:val="1"/>
  </w:num>
  <w:num w:numId="3">
    <w:abstractNumId w:val="7"/>
  </w:num>
  <w:num w:numId="4">
    <w:abstractNumId w:val="0"/>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57"/>
    <w:rsid w:val="000313F5"/>
    <w:rsid w:val="0008049B"/>
    <w:rsid w:val="000C3714"/>
    <w:rsid w:val="000D4216"/>
    <w:rsid w:val="000E07C4"/>
    <w:rsid w:val="001759D6"/>
    <w:rsid w:val="00206707"/>
    <w:rsid w:val="00273D1E"/>
    <w:rsid w:val="00286FC9"/>
    <w:rsid w:val="00326BA4"/>
    <w:rsid w:val="003643C1"/>
    <w:rsid w:val="00381A9F"/>
    <w:rsid w:val="00392CA2"/>
    <w:rsid w:val="003B337B"/>
    <w:rsid w:val="003B6A1D"/>
    <w:rsid w:val="003C12C2"/>
    <w:rsid w:val="0041317E"/>
    <w:rsid w:val="004264ED"/>
    <w:rsid w:val="004343CA"/>
    <w:rsid w:val="004473C1"/>
    <w:rsid w:val="00583AB7"/>
    <w:rsid w:val="00586036"/>
    <w:rsid w:val="006362B2"/>
    <w:rsid w:val="00692926"/>
    <w:rsid w:val="006A20D2"/>
    <w:rsid w:val="006B0974"/>
    <w:rsid w:val="006B5387"/>
    <w:rsid w:val="006C0C40"/>
    <w:rsid w:val="006F509C"/>
    <w:rsid w:val="00740741"/>
    <w:rsid w:val="00752879"/>
    <w:rsid w:val="00772FE1"/>
    <w:rsid w:val="0084454F"/>
    <w:rsid w:val="00856696"/>
    <w:rsid w:val="008A4A02"/>
    <w:rsid w:val="008A5CFB"/>
    <w:rsid w:val="008D2E0D"/>
    <w:rsid w:val="008D7425"/>
    <w:rsid w:val="008E4CED"/>
    <w:rsid w:val="00912BC4"/>
    <w:rsid w:val="009504E6"/>
    <w:rsid w:val="00951331"/>
    <w:rsid w:val="00960100"/>
    <w:rsid w:val="009B4AF3"/>
    <w:rsid w:val="009E6CE8"/>
    <w:rsid w:val="00A027C8"/>
    <w:rsid w:val="00A40010"/>
    <w:rsid w:val="00A730C3"/>
    <w:rsid w:val="00A81D0C"/>
    <w:rsid w:val="00B23AB9"/>
    <w:rsid w:val="00B57E5F"/>
    <w:rsid w:val="00BA73A0"/>
    <w:rsid w:val="00BC7674"/>
    <w:rsid w:val="00C1520E"/>
    <w:rsid w:val="00C40B57"/>
    <w:rsid w:val="00C44E8D"/>
    <w:rsid w:val="00C573A5"/>
    <w:rsid w:val="00C6215A"/>
    <w:rsid w:val="00C716B9"/>
    <w:rsid w:val="00CA1896"/>
    <w:rsid w:val="00CA552B"/>
    <w:rsid w:val="00CD3731"/>
    <w:rsid w:val="00D20B2E"/>
    <w:rsid w:val="00D342C7"/>
    <w:rsid w:val="00E10448"/>
    <w:rsid w:val="00E318D7"/>
    <w:rsid w:val="00EC1A99"/>
    <w:rsid w:val="00F020A0"/>
    <w:rsid w:val="00F177B4"/>
    <w:rsid w:val="00F51FE9"/>
    <w:rsid w:val="00FB3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7EF6"/>
  <w15:docId w15:val="{14D050F2-8C54-41BC-B014-1D5B52C2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08D5"/>
    <w:rPr>
      <w:color w:val="000000"/>
      <w:lang w:eastAsia="vi-VN" w:bidi="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Other">
    <w:name w:val="Other_"/>
    <w:basedOn w:val="DefaultParagraphFont"/>
    <w:link w:val="Other0"/>
    <w:rsid w:val="000208D5"/>
    <w:rPr>
      <w:rFonts w:ascii="Times New Roman" w:eastAsia="Times New Roman" w:hAnsi="Times New Roman" w:cs="Times New Roman"/>
      <w:sz w:val="20"/>
      <w:szCs w:val="20"/>
    </w:rPr>
  </w:style>
  <w:style w:type="paragraph" w:customStyle="1" w:styleId="Other0">
    <w:name w:val="Other"/>
    <w:basedOn w:val="Normal"/>
    <w:link w:val="Other"/>
    <w:rsid w:val="000208D5"/>
    <w:pPr>
      <w:spacing w:line="290" w:lineRule="auto"/>
      <w:ind w:firstLine="400"/>
    </w:pPr>
    <w:rPr>
      <w:rFonts w:ascii="Times New Roman" w:eastAsia="Times New Roman" w:hAnsi="Times New Roman" w:cs="Times New Roman"/>
      <w:color w:val="auto"/>
      <w:sz w:val="20"/>
      <w:szCs w:val="20"/>
      <w:lang w:eastAsia="zh-CN" w:bidi="ar-SA"/>
    </w:rPr>
  </w:style>
  <w:style w:type="paragraph" w:styleId="NormalWeb">
    <w:name w:val="Normal (Web)"/>
    <w:basedOn w:val="Normal"/>
    <w:uiPriority w:val="99"/>
    <w:semiHidden/>
    <w:unhideWhenUsed/>
    <w:rsid w:val="000208D5"/>
    <w:pPr>
      <w:widowControl/>
      <w:spacing w:before="100" w:beforeAutospacing="1" w:after="100" w:afterAutospacing="1"/>
    </w:pPr>
    <w:rPr>
      <w:rFonts w:ascii="Times New Roman" w:eastAsia="Times New Roman" w:hAnsi="Times New Roman" w:cs="Times New Roman"/>
      <w:color w:val="auto"/>
      <w:lang w:eastAsia="zh-CN" w:bidi="ar-SA"/>
    </w:rPr>
  </w:style>
  <w:style w:type="paragraph" w:styleId="ListParagraph">
    <w:name w:val="List Paragraph"/>
    <w:basedOn w:val="Normal"/>
    <w:uiPriority w:val="34"/>
    <w:qFormat/>
    <w:rsid w:val="000208D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zhJCIbZs/En+KyY5dMF5VkJ/TA==">AMUW2mW6w/7YSnclqpojRAOW+/8Dt9mjanr7cXNFM++QnmKf89Bgo2YoQy5oObRzZzGle83afAuCE5iN7RSquT6wFP/yy8642L83rzT6If5B5ELC3lgsXpfeKjFb5JY6z/Uh0nhkuNdg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Kim Thoa</dc:creator>
  <cp:lastModifiedBy>Tran Ha Anh</cp:lastModifiedBy>
  <cp:revision>90</cp:revision>
  <dcterms:created xsi:type="dcterms:W3CDTF">2021-09-28T05:17:00Z</dcterms:created>
  <dcterms:modified xsi:type="dcterms:W3CDTF">2021-09-30T09:24:00Z</dcterms:modified>
</cp:coreProperties>
</file>